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5B8B7" w:themeColor="accent2" w:themeTint="66"/>
  <w:body>
    <w:p w:rsidR="005C51BE" w:rsidRDefault="002219CE" w:rsidP="002219CE">
      <w:pPr>
        <w:spacing w:after="0"/>
        <w:rPr>
          <w:rFonts w:ascii="Arial" w:hAnsi="Arial" w:cs="Arial"/>
          <w:color w:val="C00000"/>
          <w:sz w:val="24"/>
          <w:szCs w:val="24"/>
          <w:lang w:val="en-US"/>
        </w:rPr>
      </w:pPr>
      <w:r>
        <w:rPr>
          <w:rFonts w:ascii="Arial" w:hAnsi="Arial" w:cs="Arial"/>
          <w:color w:val="C00000"/>
          <w:sz w:val="24"/>
          <w:szCs w:val="24"/>
          <w:lang w:val="en-US"/>
        </w:rPr>
        <w:t>What is expertise-oriented evaluation approach?</w:t>
      </w:r>
    </w:p>
    <w:p w:rsidR="002219CE" w:rsidRPr="002219CE" w:rsidRDefault="002219CE" w:rsidP="002219CE">
      <w:pPr>
        <w:pStyle w:val="ListParagraph"/>
        <w:numPr>
          <w:ilvl w:val="0"/>
          <w:numId w:val="1"/>
        </w:numPr>
        <w:spacing w:after="0"/>
        <w:rPr>
          <w:rFonts w:ascii="Arial" w:hAnsi="Arial" w:cs="Arial"/>
          <w:color w:val="C00000"/>
          <w:sz w:val="24"/>
          <w:szCs w:val="24"/>
          <w:lang w:val="en-US"/>
        </w:rPr>
      </w:pPr>
      <w:r>
        <w:rPr>
          <w:rFonts w:ascii="Arial" w:hAnsi="Arial" w:cs="Arial"/>
          <w:sz w:val="24"/>
          <w:szCs w:val="24"/>
          <w:lang w:val="en-US"/>
        </w:rPr>
        <w:t>One of the oldest and most used evaluation methods that relies on professional expertise to review programs, products, etc</w:t>
      </w:r>
    </w:p>
    <w:p w:rsidR="002219CE" w:rsidRPr="002219CE" w:rsidRDefault="002219CE" w:rsidP="002219CE">
      <w:pPr>
        <w:pStyle w:val="ListParagraph"/>
        <w:numPr>
          <w:ilvl w:val="0"/>
          <w:numId w:val="1"/>
        </w:numPr>
        <w:rPr>
          <w:rFonts w:ascii="Arial" w:hAnsi="Arial" w:cs="Arial"/>
          <w:color w:val="C00000"/>
          <w:sz w:val="24"/>
          <w:szCs w:val="24"/>
          <w:lang w:val="en-US"/>
        </w:rPr>
      </w:pPr>
      <w:r>
        <w:rPr>
          <w:rFonts w:ascii="Arial" w:hAnsi="Arial" w:cs="Arial"/>
          <w:sz w:val="24"/>
          <w:szCs w:val="24"/>
          <w:lang w:val="en-US"/>
        </w:rPr>
        <w:t>Primarily subjective input from the expert that informs the evaluation process</w:t>
      </w:r>
    </w:p>
    <w:p w:rsidR="002219CE" w:rsidRPr="003010DD" w:rsidRDefault="002219CE" w:rsidP="002219CE">
      <w:pPr>
        <w:pStyle w:val="ListParagraph"/>
        <w:numPr>
          <w:ilvl w:val="0"/>
          <w:numId w:val="1"/>
        </w:numPr>
        <w:rPr>
          <w:rFonts w:ascii="Arial" w:hAnsi="Arial" w:cs="Arial"/>
          <w:color w:val="C00000"/>
          <w:sz w:val="24"/>
          <w:szCs w:val="24"/>
          <w:lang w:val="en-US"/>
        </w:rPr>
      </w:pPr>
      <w:r>
        <w:rPr>
          <w:rFonts w:ascii="Arial" w:hAnsi="Arial" w:cs="Arial"/>
          <w:sz w:val="24"/>
          <w:szCs w:val="24"/>
          <w:lang w:val="en-US"/>
        </w:rPr>
        <w:t>Usually done by more than one ‘expert’- e.g. committees, panels, peer reviews, etc.</w:t>
      </w:r>
    </w:p>
    <w:p w:rsidR="003010DD" w:rsidRPr="002219CE" w:rsidRDefault="003010DD" w:rsidP="003010DD">
      <w:pPr>
        <w:pStyle w:val="ListParagraph"/>
        <w:numPr>
          <w:ilvl w:val="0"/>
          <w:numId w:val="1"/>
        </w:numPr>
        <w:spacing w:after="0"/>
        <w:rPr>
          <w:rFonts w:ascii="Arial" w:hAnsi="Arial" w:cs="Arial"/>
          <w:color w:val="C00000"/>
          <w:sz w:val="24"/>
          <w:szCs w:val="24"/>
          <w:lang w:val="en-US"/>
        </w:rPr>
      </w:pPr>
      <w:r>
        <w:rPr>
          <w:rFonts w:ascii="Arial" w:hAnsi="Arial" w:cs="Arial"/>
          <w:sz w:val="24"/>
          <w:szCs w:val="24"/>
          <w:lang w:val="en-US"/>
        </w:rPr>
        <w:t>Use of formal, informal, ad hoc panel and ad hoc individual reviews</w:t>
      </w:r>
    </w:p>
    <w:p w:rsidR="002219CE" w:rsidRDefault="003010DD" w:rsidP="003010DD">
      <w:pPr>
        <w:spacing w:after="0"/>
        <w:rPr>
          <w:rFonts w:ascii="Arial" w:hAnsi="Arial" w:cs="Arial"/>
          <w:color w:val="C00000"/>
          <w:sz w:val="24"/>
          <w:szCs w:val="24"/>
          <w:lang w:val="en-US"/>
        </w:rPr>
      </w:pPr>
      <w:r>
        <w:rPr>
          <w:rFonts w:ascii="Arial" w:hAnsi="Arial" w:cs="Arial"/>
          <w:color w:val="C00000"/>
          <w:sz w:val="24"/>
          <w:szCs w:val="24"/>
          <w:lang w:val="en-US"/>
        </w:rPr>
        <w:t xml:space="preserve">What </w:t>
      </w:r>
      <w:r w:rsidR="00580F92">
        <w:rPr>
          <w:rFonts w:ascii="Arial" w:hAnsi="Arial" w:cs="Arial"/>
          <w:color w:val="C00000"/>
          <w:sz w:val="24"/>
          <w:szCs w:val="24"/>
          <w:lang w:val="en-US"/>
        </w:rPr>
        <w:t>are</w:t>
      </w:r>
      <w:r>
        <w:rPr>
          <w:rFonts w:ascii="Arial" w:hAnsi="Arial" w:cs="Arial"/>
          <w:color w:val="C00000"/>
          <w:sz w:val="24"/>
          <w:szCs w:val="24"/>
          <w:lang w:val="en-US"/>
        </w:rPr>
        <w:t xml:space="preserve"> formal review</w:t>
      </w:r>
      <w:r w:rsidR="00580F92">
        <w:rPr>
          <w:rFonts w:ascii="Arial" w:hAnsi="Arial" w:cs="Arial"/>
          <w:color w:val="C00000"/>
          <w:sz w:val="24"/>
          <w:szCs w:val="24"/>
          <w:lang w:val="en-US"/>
        </w:rPr>
        <w:t>s</w:t>
      </w:r>
      <w:r>
        <w:rPr>
          <w:rFonts w:ascii="Arial" w:hAnsi="Arial" w:cs="Arial"/>
          <w:color w:val="C00000"/>
          <w:sz w:val="24"/>
          <w:szCs w:val="24"/>
          <w:lang w:val="en-US"/>
        </w:rPr>
        <w:t>?</w:t>
      </w:r>
    </w:p>
    <w:p w:rsidR="00580F92" w:rsidRPr="003D15C2" w:rsidRDefault="00580F92" w:rsidP="00580F92">
      <w:pPr>
        <w:pStyle w:val="ListParagraph"/>
        <w:numPr>
          <w:ilvl w:val="0"/>
          <w:numId w:val="2"/>
        </w:numPr>
        <w:spacing w:after="0"/>
        <w:rPr>
          <w:rFonts w:ascii="Arial" w:hAnsi="Arial" w:cs="Arial"/>
          <w:color w:val="C00000"/>
          <w:sz w:val="24"/>
          <w:szCs w:val="24"/>
          <w:lang w:val="en-US"/>
        </w:rPr>
      </w:pPr>
      <w:r>
        <w:rPr>
          <w:rFonts w:ascii="Arial" w:hAnsi="Arial" w:cs="Arial"/>
          <w:sz w:val="24"/>
          <w:szCs w:val="24"/>
          <w:lang w:val="en-US"/>
        </w:rPr>
        <w:t xml:space="preserve">The ‘formal professional review’ system usually includes a structure to do periodic reviews; have published standards for these reviews; pre-established schedule; option of panel of experts to reach </w:t>
      </w:r>
      <w:r w:rsidR="003D15C2">
        <w:rPr>
          <w:rFonts w:ascii="Arial" w:hAnsi="Arial" w:cs="Arial"/>
          <w:sz w:val="24"/>
          <w:szCs w:val="24"/>
          <w:lang w:val="en-US"/>
        </w:rPr>
        <w:t>judgments</w:t>
      </w:r>
      <w:r>
        <w:rPr>
          <w:rFonts w:ascii="Arial" w:hAnsi="Arial" w:cs="Arial"/>
          <w:sz w:val="24"/>
          <w:szCs w:val="24"/>
          <w:lang w:val="en-US"/>
        </w:rPr>
        <w:t xml:space="preserve"> of value; and, have an impact on the status of what is reviewed.</w:t>
      </w:r>
    </w:p>
    <w:p w:rsidR="003D15C2" w:rsidRPr="003D15C2" w:rsidRDefault="003D15C2" w:rsidP="00580F92">
      <w:pPr>
        <w:pStyle w:val="ListParagraph"/>
        <w:numPr>
          <w:ilvl w:val="0"/>
          <w:numId w:val="2"/>
        </w:numPr>
        <w:spacing w:after="0"/>
        <w:rPr>
          <w:rFonts w:ascii="Arial" w:hAnsi="Arial" w:cs="Arial"/>
          <w:color w:val="C00000"/>
          <w:sz w:val="24"/>
          <w:szCs w:val="24"/>
          <w:lang w:val="en-US"/>
        </w:rPr>
      </w:pPr>
      <w:r>
        <w:rPr>
          <w:rFonts w:ascii="Arial" w:hAnsi="Arial" w:cs="Arial"/>
          <w:sz w:val="24"/>
          <w:szCs w:val="24"/>
          <w:lang w:val="en-US"/>
        </w:rPr>
        <w:t>Accreditation is often associated with such a professional review system, where members of the review team are current members of said profession</w:t>
      </w:r>
    </w:p>
    <w:p w:rsidR="003D15C2" w:rsidRPr="008C402E" w:rsidRDefault="008C402E" w:rsidP="00580F92">
      <w:pPr>
        <w:pStyle w:val="ListParagraph"/>
        <w:numPr>
          <w:ilvl w:val="0"/>
          <w:numId w:val="2"/>
        </w:numPr>
        <w:spacing w:after="0"/>
        <w:rPr>
          <w:rFonts w:ascii="Arial" w:hAnsi="Arial" w:cs="Arial"/>
          <w:color w:val="C00000"/>
          <w:sz w:val="24"/>
          <w:szCs w:val="24"/>
          <w:lang w:val="en-US"/>
        </w:rPr>
      </w:pPr>
      <w:r>
        <w:rPr>
          <w:rFonts w:ascii="Arial" w:hAnsi="Arial" w:cs="Arial"/>
          <w:sz w:val="24"/>
          <w:szCs w:val="24"/>
          <w:lang w:val="en-US"/>
        </w:rPr>
        <w:t>Lack of agreement on whether the ‘accreditation’ bodies are actually evaluative in nature</w:t>
      </w:r>
    </w:p>
    <w:p w:rsidR="008C402E" w:rsidRPr="008C402E" w:rsidRDefault="008C402E" w:rsidP="00580F92">
      <w:pPr>
        <w:pStyle w:val="ListParagraph"/>
        <w:numPr>
          <w:ilvl w:val="0"/>
          <w:numId w:val="2"/>
        </w:numPr>
        <w:spacing w:after="0"/>
        <w:rPr>
          <w:rFonts w:ascii="Arial" w:hAnsi="Arial" w:cs="Arial"/>
          <w:color w:val="C00000"/>
          <w:sz w:val="24"/>
          <w:szCs w:val="24"/>
          <w:lang w:val="en-US"/>
        </w:rPr>
      </w:pPr>
      <w:r>
        <w:rPr>
          <w:rFonts w:ascii="Arial" w:hAnsi="Arial" w:cs="Arial"/>
          <w:sz w:val="24"/>
          <w:szCs w:val="24"/>
          <w:lang w:val="en-US"/>
        </w:rPr>
        <w:t>While these bodies tend not to have any formal authority over institutional change, there is some agreement that when recommendations come forward from the group it is likely that the institution will endeavor to make some degree of the recommended change</w:t>
      </w:r>
    </w:p>
    <w:p w:rsidR="008C402E" w:rsidRPr="008C402E" w:rsidRDefault="008C402E" w:rsidP="00580F92">
      <w:pPr>
        <w:pStyle w:val="ListParagraph"/>
        <w:numPr>
          <w:ilvl w:val="0"/>
          <w:numId w:val="2"/>
        </w:numPr>
        <w:spacing w:after="0"/>
        <w:rPr>
          <w:rFonts w:ascii="Arial" w:hAnsi="Arial" w:cs="Arial"/>
          <w:color w:val="C00000"/>
          <w:sz w:val="24"/>
          <w:szCs w:val="24"/>
          <w:lang w:val="en-US"/>
        </w:rPr>
      </w:pPr>
      <w:r>
        <w:rPr>
          <w:rFonts w:ascii="Arial" w:hAnsi="Arial" w:cs="Arial"/>
          <w:sz w:val="24"/>
          <w:szCs w:val="24"/>
          <w:lang w:val="en-US"/>
        </w:rPr>
        <w:t>There is a concern that these bodies fail to do a good job of policing themselves</w:t>
      </w:r>
    </w:p>
    <w:p w:rsidR="008C402E" w:rsidRDefault="00DF782B" w:rsidP="008C402E">
      <w:pPr>
        <w:spacing w:after="0"/>
        <w:rPr>
          <w:rFonts w:ascii="Arial" w:hAnsi="Arial" w:cs="Arial"/>
          <w:color w:val="C00000"/>
          <w:sz w:val="24"/>
          <w:szCs w:val="24"/>
          <w:lang w:val="en-US"/>
        </w:rPr>
      </w:pPr>
      <w:r>
        <w:rPr>
          <w:rFonts w:ascii="Arial" w:hAnsi="Arial" w:cs="Arial"/>
          <w:color w:val="C00000"/>
          <w:sz w:val="24"/>
          <w:szCs w:val="24"/>
          <w:lang w:val="en-US"/>
        </w:rPr>
        <w:t>What is the role of an informal review system?</w:t>
      </w:r>
    </w:p>
    <w:p w:rsidR="00DF782B" w:rsidRPr="007B109D" w:rsidRDefault="00DF782B" w:rsidP="00DF782B">
      <w:pPr>
        <w:pStyle w:val="ListParagraph"/>
        <w:numPr>
          <w:ilvl w:val="0"/>
          <w:numId w:val="3"/>
        </w:numPr>
        <w:spacing w:after="0"/>
        <w:rPr>
          <w:rFonts w:ascii="Arial" w:hAnsi="Arial" w:cs="Arial"/>
          <w:color w:val="C00000"/>
          <w:sz w:val="24"/>
          <w:szCs w:val="24"/>
          <w:lang w:val="en-US"/>
        </w:rPr>
      </w:pPr>
      <w:r>
        <w:rPr>
          <w:rFonts w:ascii="Arial" w:hAnsi="Arial" w:cs="Arial"/>
          <w:sz w:val="24"/>
          <w:szCs w:val="24"/>
          <w:lang w:val="en-US"/>
        </w:rPr>
        <w:t>Some bodies have a structure and a set of procedures but lack a formal review system</w:t>
      </w:r>
    </w:p>
    <w:p w:rsidR="007B109D" w:rsidRPr="00DF782B" w:rsidRDefault="007B109D" w:rsidP="00DF782B">
      <w:pPr>
        <w:pStyle w:val="ListParagraph"/>
        <w:numPr>
          <w:ilvl w:val="0"/>
          <w:numId w:val="3"/>
        </w:numPr>
        <w:spacing w:after="0"/>
        <w:rPr>
          <w:rFonts w:ascii="Arial" w:hAnsi="Arial" w:cs="Arial"/>
          <w:color w:val="C00000"/>
          <w:sz w:val="24"/>
          <w:szCs w:val="24"/>
          <w:lang w:val="en-US"/>
        </w:rPr>
      </w:pPr>
      <w:r>
        <w:rPr>
          <w:rFonts w:ascii="Arial" w:hAnsi="Arial" w:cs="Arial"/>
          <w:sz w:val="24"/>
          <w:szCs w:val="24"/>
          <w:lang w:val="en-US"/>
        </w:rPr>
        <w:t>Employ the opinions of multiple experts</w:t>
      </w:r>
    </w:p>
    <w:p w:rsidR="00DF782B" w:rsidRDefault="00DF782B" w:rsidP="008C402E">
      <w:pPr>
        <w:spacing w:after="0"/>
        <w:rPr>
          <w:rFonts w:ascii="Arial" w:hAnsi="Arial" w:cs="Arial"/>
          <w:color w:val="C00000"/>
          <w:sz w:val="24"/>
          <w:szCs w:val="24"/>
          <w:lang w:val="en-US"/>
        </w:rPr>
      </w:pPr>
      <w:r>
        <w:rPr>
          <w:rFonts w:ascii="Arial" w:hAnsi="Arial" w:cs="Arial"/>
          <w:color w:val="C00000"/>
          <w:sz w:val="24"/>
          <w:szCs w:val="24"/>
          <w:lang w:val="en-US"/>
        </w:rPr>
        <w:t>What is the role of an ad hoc panel review</w:t>
      </w:r>
      <w:r w:rsidR="002E1242">
        <w:rPr>
          <w:rFonts w:ascii="Arial" w:hAnsi="Arial" w:cs="Arial"/>
          <w:color w:val="C00000"/>
          <w:sz w:val="24"/>
          <w:szCs w:val="24"/>
          <w:lang w:val="en-US"/>
        </w:rPr>
        <w:t xml:space="preserve"> and individual reviews</w:t>
      </w:r>
      <w:r>
        <w:rPr>
          <w:rFonts w:ascii="Arial" w:hAnsi="Arial" w:cs="Arial"/>
          <w:color w:val="C00000"/>
          <w:sz w:val="24"/>
          <w:szCs w:val="24"/>
          <w:lang w:val="en-US"/>
        </w:rPr>
        <w:t>?</w:t>
      </w:r>
    </w:p>
    <w:p w:rsidR="007B109D" w:rsidRPr="007B109D" w:rsidRDefault="007B109D" w:rsidP="007B109D">
      <w:pPr>
        <w:pStyle w:val="ListParagraph"/>
        <w:numPr>
          <w:ilvl w:val="0"/>
          <w:numId w:val="3"/>
        </w:numPr>
        <w:spacing w:after="0"/>
        <w:rPr>
          <w:rFonts w:ascii="Arial" w:hAnsi="Arial" w:cs="Arial"/>
          <w:color w:val="C00000"/>
          <w:sz w:val="24"/>
          <w:szCs w:val="24"/>
          <w:lang w:val="en-US"/>
        </w:rPr>
      </w:pPr>
      <w:r>
        <w:rPr>
          <w:rFonts w:ascii="Arial" w:hAnsi="Arial" w:cs="Arial"/>
          <w:sz w:val="24"/>
          <w:szCs w:val="24"/>
          <w:lang w:val="en-US"/>
        </w:rPr>
        <w:t xml:space="preserve">No set schedule of meetings – tend to meet on an ‘one off basis’.  </w:t>
      </w:r>
    </w:p>
    <w:p w:rsidR="00DF782B" w:rsidRPr="007B109D" w:rsidRDefault="007B109D" w:rsidP="008C402E">
      <w:pPr>
        <w:pStyle w:val="ListParagraph"/>
        <w:numPr>
          <w:ilvl w:val="0"/>
          <w:numId w:val="3"/>
        </w:numPr>
        <w:spacing w:after="0"/>
        <w:rPr>
          <w:rFonts w:ascii="Arial" w:hAnsi="Arial" w:cs="Arial"/>
          <w:color w:val="C00000"/>
          <w:sz w:val="24"/>
          <w:szCs w:val="24"/>
          <w:lang w:val="en-US"/>
        </w:rPr>
      </w:pPr>
      <w:r>
        <w:rPr>
          <w:rFonts w:ascii="Arial" w:hAnsi="Arial" w:cs="Arial"/>
          <w:sz w:val="24"/>
          <w:szCs w:val="24"/>
          <w:lang w:val="en-US"/>
        </w:rPr>
        <w:t>No preset structures or standards, but employ opinions of many experts</w:t>
      </w:r>
    </w:p>
    <w:p w:rsidR="007B109D" w:rsidRPr="001B735B" w:rsidRDefault="007B109D" w:rsidP="008C402E">
      <w:pPr>
        <w:pStyle w:val="ListParagraph"/>
        <w:numPr>
          <w:ilvl w:val="0"/>
          <w:numId w:val="3"/>
        </w:numPr>
        <w:spacing w:after="0"/>
        <w:rPr>
          <w:rFonts w:ascii="Arial" w:hAnsi="Arial" w:cs="Arial"/>
          <w:color w:val="C00000"/>
          <w:sz w:val="24"/>
          <w:szCs w:val="24"/>
          <w:lang w:val="en-US"/>
        </w:rPr>
      </w:pPr>
      <w:r>
        <w:rPr>
          <w:rFonts w:ascii="Arial" w:hAnsi="Arial" w:cs="Arial"/>
          <w:sz w:val="24"/>
          <w:szCs w:val="24"/>
          <w:lang w:val="en-US"/>
        </w:rPr>
        <w:t xml:space="preserve">In ad hoc individual </w:t>
      </w:r>
      <w:r w:rsidR="00D01EDB">
        <w:rPr>
          <w:rFonts w:ascii="Arial" w:hAnsi="Arial" w:cs="Arial"/>
          <w:sz w:val="24"/>
          <w:szCs w:val="24"/>
          <w:lang w:val="en-US"/>
        </w:rPr>
        <w:t>are much the same as panel review, other than it is completed by one expert.</w:t>
      </w:r>
    </w:p>
    <w:p w:rsidR="001B735B" w:rsidRDefault="001B735B" w:rsidP="001B735B">
      <w:pPr>
        <w:spacing w:after="0"/>
        <w:rPr>
          <w:rFonts w:ascii="Arial" w:hAnsi="Arial" w:cs="Arial"/>
          <w:color w:val="C00000"/>
          <w:sz w:val="24"/>
          <w:szCs w:val="24"/>
          <w:lang w:val="en-US"/>
        </w:rPr>
      </w:pPr>
      <w:r>
        <w:rPr>
          <w:rFonts w:ascii="Arial" w:hAnsi="Arial" w:cs="Arial"/>
          <w:color w:val="C00000"/>
          <w:sz w:val="24"/>
          <w:szCs w:val="24"/>
          <w:lang w:val="en-US"/>
        </w:rPr>
        <w:t xml:space="preserve">What </w:t>
      </w:r>
      <w:r w:rsidR="0075572E">
        <w:rPr>
          <w:rFonts w:ascii="Arial" w:hAnsi="Arial" w:cs="Arial"/>
          <w:color w:val="C00000"/>
          <w:sz w:val="24"/>
          <w:szCs w:val="24"/>
          <w:lang w:val="en-US"/>
        </w:rPr>
        <w:t>is the role of the ‘critic’ in evaluation?</w:t>
      </w:r>
    </w:p>
    <w:p w:rsidR="002B3627" w:rsidRPr="002B3627" w:rsidRDefault="0075572E" w:rsidP="0075572E">
      <w:pPr>
        <w:pStyle w:val="ListParagraph"/>
        <w:numPr>
          <w:ilvl w:val="0"/>
          <w:numId w:val="4"/>
        </w:numPr>
        <w:spacing w:after="0"/>
        <w:rPr>
          <w:rFonts w:ascii="Arial" w:hAnsi="Arial" w:cs="Arial"/>
          <w:color w:val="C00000"/>
          <w:sz w:val="24"/>
          <w:szCs w:val="24"/>
          <w:lang w:val="en-US"/>
        </w:rPr>
      </w:pPr>
      <w:r>
        <w:rPr>
          <w:rFonts w:ascii="Arial" w:hAnsi="Arial" w:cs="Arial"/>
          <w:sz w:val="24"/>
          <w:szCs w:val="24"/>
          <w:lang w:val="en-US"/>
        </w:rPr>
        <w:t xml:space="preserve">The role of the critic or connoisseurship could be likened to an ‘expert’ review process, where the critic has had considerable experience reviewing </w:t>
      </w:r>
      <w:r w:rsidR="002B3627">
        <w:rPr>
          <w:rFonts w:ascii="Arial" w:hAnsi="Arial" w:cs="Arial"/>
          <w:sz w:val="24"/>
          <w:szCs w:val="24"/>
          <w:lang w:val="en-US"/>
        </w:rPr>
        <w:t>whatever it is they are ‘critically’ observing</w:t>
      </w:r>
    </w:p>
    <w:p w:rsidR="00D022BB" w:rsidRDefault="00D022BB" w:rsidP="00D022BB">
      <w:pPr>
        <w:spacing w:after="0"/>
        <w:rPr>
          <w:rFonts w:ascii="Arial" w:hAnsi="Arial" w:cs="Arial"/>
          <w:color w:val="C00000"/>
          <w:sz w:val="24"/>
          <w:szCs w:val="24"/>
          <w:lang w:val="en-US"/>
        </w:rPr>
      </w:pPr>
      <w:r>
        <w:rPr>
          <w:rFonts w:ascii="Arial" w:hAnsi="Arial" w:cs="Arial"/>
          <w:color w:val="C00000"/>
          <w:sz w:val="24"/>
          <w:szCs w:val="24"/>
          <w:lang w:val="en-US"/>
        </w:rPr>
        <w:t>How is the participant approach to evaluation different for those discussed prior?</w:t>
      </w:r>
    </w:p>
    <w:p w:rsidR="00D022BB" w:rsidRPr="00F534E0" w:rsidRDefault="00BA2FD6" w:rsidP="00BA2FD6">
      <w:pPr>
        <w:pStyle w:val="ListParagraph"/>
        <w:numPr>
          <w:ilvl w:val="0"/>
          <w:numId w:val="4"/>
        </w:numPr>
        <w:spacing w:after="0"/>
        <w:rPr>
          <w:rFonts w:ascii="Arial" w:hAnsi="Arial" w:cs="Arial"/>
          <w:color w:val="C00000"/>
          <w:sz w:val="24"/>
          <w:szCs w:val="24"/>
          <w:lang w:val="en-US"/>
        </w:rPr>
      </w:pPr>
      <w:r>
        <w:rPr>
          <w:rFonts w:ascii="Arial" w:hAnsi="Arial" w:cs="Arial"/>
          <w:sz w:val="24"/>
          <w:szCs w:val="24"/>
          <w:lang w:val="en-US"/>
        </w:rPr>
        <w:t xml:space="preserve">This perspective came about as a means to counter what some evaluation theorists saw as </w:t>
      </w:r>
      <w:r w:rsidR="00F534E0">
        <w:rPr>
          <w:rFonts w:ascii="Arial" w:hAnsi="Arial" w:cs="Arial"/>
          <w:sz w:val="24"/>
          <w:szCs w:val="24"/>
          <w:lang w:val="en-US"/>
        </w:rPr>
        <w:t>insensitive approaches to evaluation found in the traditionalist stream</w:t>
      </w:r>
    </w:p>
    <w:p w:rsidR="00F534E0" w:rsidRPr="00F534E0" w:rsidRDefault="00F534E0" w:rsidP="001B735B">
      <w:pPr>
        <w:pStyle w:val="ListParagraph"/>
        <w:numPr>
          <w:ilvl w:val="0"/>
          <w:numId w:val="4"/>
        </w:numPr>
        <w:spacing w:after="0"/>
        <w:rPr>
          <w:rFonts w:ascii="Arial" w:hAnsi="Arial" w:cs="Arial"/>
          <w:color w:val="C00000"/>
          <w:sz w:val="24"/>
          <w:szCs w:val="24"/>
          <w:lang w:val="en-US"/>
        </w:rPr>
      </w:pPr>
      <w:r>
        <w:rPr>
          <w:rFonts w:ascii="Arial" w:hAnsi="Arial" w:cs="Arial"/>
          <w:sz w:val="24"/>
          <w:szCs w:val="24"/>
          <w:lang w:val="en-US"/>
        </w:rPr>
        <w:t>For the proponents of this perspective, the ‘participant’ is central to the evaluation process</w:t>
      </w:r>
    </w:p>
    <w:p w:rsidR="00F534E0" w:rsidRPr="00D90DB0" w:rsidRDefault="00F534E0" w:rsidP="001B735B">
      <w:pPr>
        <w:pStyle w:val="ListParagraph"/>
        <w:numPr>
          <w:ilvl w:val="0"/>
          <w:numId w:val="4"/>
        </w:numPr>
        <w:spacing w:after="0"/>
        <w:rPr>
          <w:rFonts w:ascii="Arial" w:hAnsi="Arial" w:cs="Arial"/>
          <w:color w:val="C00000"/>
          <w:sz w:val="24"/>
          <w:szCs w:val="24"/>
          <w:lang w:val="en-US"/>
        </w:rPr>
      </w:pPr>
      <w:r>
        <w:rPr>
          <w:rFonts w:ascii="Arial" w:hAnsi="Arial" w:cs="Arial"/>
          <w:sz w:val="24"/>
          <w:szCs w:val="24"/>
          <w:lang w:val="en-US"/>
        </w:rPr>
        <w:t>As noted in the outset of the course, evaluators should have the role of advocating for the ‘voiceless’</w:t>
      </w:r>
      <w:r w:rsidR="00D90DB0">
        <w:rPr>
          <w:rFonts w:ascii="Arial" w:hAnsi="Arial" w:cs="Arial"/>
          <w:sz w:val="24"/>
          <w:szCs w:val="24"/>
          <w:lang w:val="en-US"/>
        </w:rPr>
        <w:t xml:space="preserve"> where the preceding approaches see the evaluator as being </w:t>
      </w:r>
      <w:r w:rsidR="006E7B50">
        <w:rPr>
          <w:rFonts w:ascii="Arial" w:hAnsi="Arial" w:cs="Arial"/>
          <w:sz w:val="24"/>
          <w:szCs w:val="24"/>
          <w:lang w:val="en-US"/>
        </w:rPr>
        <w:t>without</w:t>
      </w:r>
      <w:r w:rsidR="00D90DB0">
        <w:rPr>
          <w:rFonts w:ascii="Arial" w:hAnsi="Arial" w:cs="Arial"/>
          <w:sz w:val="24"/>
          <w:szCs w:val="24"/>
          <w:lang w:val="en-US"/>
        </w:rPr>
        <w:t xml:space="preserve"> bias</w:t>
      </w:r>
    </w:p>
    <w:p w:rsidR="00D90DB0" w:rsidRPr="00D90DB0" w:rsidRDefault="00D90DB0" w:rsidP="001B735B">
      <w:pPr>
        <w:pStyle w:val="ListParagraph"/>
        <w:numPr>
          <w:ilvl w:val="0"/>
          <w:numId w:val="4"/>
        </w:numPr>
        <w:spacing w:after="0"/>
        <w:rPr>
          <w:rFonts w:ascii="Arial" w:hAnsi="Arial" w:cs="Arial"/>
          <w:color w:val="C00000"/>
          <w:sz w:val="24"/>
          <w:szCs w:val="24"/>
          <w:lang w:val="en-US"/>
        </w:rPr>
      </w:pPr>
      <w:r>
        <w:rPr>
          <w:rFonts w:ascii="Arial" w:hAnsi="Arial" w:cs="Arial"/>
          <w:sz w:val="24"/>
          <w:szCs w:val="24"/>
          <w:lang w:val="en-US"/>
        </w:rPr>
        <w:t>Some of the common characteristics of this approach are:</w:t>
      </w:r>
    </w:p>
    <w:tbl>
      <w:tblPr>
        <w:tblStyle w:val="TableGrid"/>
        <w:tblW w:w="1050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8"/>
        <w:gridCol w:w="5522"/>
      </w:tblGrid>
      <w:tr w:rsidR="00D90DB0" w:rsidTr="000F7D85">
        <w:trPr>
          <w:trHeight w:val="2235"/>
        </w:trPr>
        <w:tc>
          <w:tcPr>
            <w:tcW w:w="4978" w:type="dxa"/>
          </w:tcPr>
          <w:p w:rsidR="00D90DB0" w:rsidRPr="00D90DB0" w:rsidRDefault="00D90DB0" w:rsidP="00D90DB0">
            <w:pPr>
              <w:pStyle w:val="ListParagraph"/>
              <w:numPr>
                <w:ilvl w:val="0"/>
                <w:numId w:val="5"/>
              </w:numPr>
              <w:rPr>
                <w:rFonts w:ascii="Arial" w:hAnsi="Arial" w:cs="Arial"/>
                <w:color w:val="C00000"/>
                <w:sz w:val="24"/>
                <w:szCs w:val="24"/>
                <w:lang w:val="en-US"/>
              </w:rPr>
            </w:pPr>
            <w:r>
              <w:rPr>
                <w:rFonts w:ascii="Arial" w:hAnsi="Arial" w:cs="Arial"/>
                <w:sz w:val="24"/>
                <w:szCs w:val="24"/>
                <w:lang w:val="en-US"/>
              </w:rPr>
              <w:t>Dependence on inductive reasoning</w:t>
            </w:r>
          </w:p>
          <w:p w:rsidR="00D90DB0" w:rsidRPr="00D90DB0" w:rsidRDefault="00D90DB0" w:rsidP="00D90DB0">
            <w:pPr>
              <w:pStyle w:val="ListParagraph"/>
              <w:numPr>
                <w:ilvl w:val="1"/>
                <w:numId w:val="5"/>
              </w:numPr>
              <w:rPr>
                <w:rFonts w:ascii="Arial" w:hAnsi="Arial" w:cs="Arial"/>
                <w:color w:val="C00000"/>
                <w:sz w:val="24"/>
                <w:szCs w:val="24"/>
                <w:lang w:val="en-US"/>
              </w:rPr>
            </w:pPr>
            <w:r>
              <w:rPr>
                <w:rFonts w:ascii="Arial" w:hAnsi="Arial" w:cs="Arial"/>
                <w:sz w:val="24"/>
                <w:szCs w:val="24"/>
                <w:lang w:val="en-US"/>
              </w:rPr>
              <w:t>Grassroots observation and discovery</w:t>
            </w:r>
          </w:p>
          <w:p w:rsidR="00D90DB0" w:rsidRPr="00D90DB0" w:rsidRDefault="00D90DB0" w:rsidP="00D90DB0">
            <w:pPr>
              <w:pStyle w:val="ListParagraph"/>
              <w:numPr>
                <w:ilvl w:val="0"/>
                <w:numId w:val="5"/>
              </w:numPr>
              <w:rPr>
                <w:rFonts w:ascii="Arial" w:hAnsi="Arial" w:cs="Arial"/>
                <w:color w:val="C00000"/>
                <w:sz w:val="24"/>
                <w:szCs w:val="24"/>
                <w:lang w:val="en-US"/>
              </w:rPr>
            </w:pPr>
            <w:r>
              <w:rPr>
                <w:rFonts w:ascii="Arial" w:hAnsi="Arial" w:cs="Arial"/>
                <w:sz w:val="24"/>
                <w:szCs w:val="24"/>
                <w:lang w:val="en-US"/>
              </w:rPr>
              <w:t>Use of multiple forms of data</w:t>
            </w:r>
          </w:p>
          <w:p w:rsidR="00D90DB0" w:rsidRPr="00D90DB0" w:rsidRDefault="00D90DB0" w:rsidP="00D90DB0">
            <w:pPr>
              <w:pStyle w:val="ListParagraph"/>
              <w:numPr>
                <w:ilvl w:val="1"/>
                <w:numId w:val="5"/>
              </w:numPr>
              <w:rPr>
                <w:rFonts w:ascii="Arial" w:hAnsi="Arial" w:cs="Arial"/>
                <w:color w:val="C00000"/>
                <w:sz w:val="24"/>
                <w:szCs w:val="24"/>
                <w:lang w:val="en-US"/>
              </w:rPr>
            </w:pPr>
            <w:r>
              <w:rPr>
                <w:rFonts w:ascii="Arial" w:hAnsi="Arial" w:cs="Arial"/>
                <w:sz w:val="24"/>
                <w:szCs w:val="24"/>
                <w:lang w:val="en-US"/>
              </w:rPr>
              <w:t>Subjective/objective; qualitative/quantitative</w:t>
            </w:r>
          </w:p>
        </w:tc>
        <w:tc>
          <w:tcPr>
            <w:tcW w:w="5522" w:type="dxa"/>
          </w:tcPr>
          <w:p w:rsidR="00D90DB0" w:rsidRPr="00D90DB0" w:rsidRDefault="00D90DB0" w:rsidP="00D90DB0">
            <w:pPr>
              <w:pStyle w:val="ListParagraph"/>
              <w:numPr>
                <w:ilvl w:val="0"/>
                <w:numId w:val="5"/>
              </w:numPr>
              <w:rPr>
                <w:rFonts w:ascii="Arial" w:hAnsi="Arial" w:cs="Arial"/>
                <w:color w:val="C00000"/>
                <w:sz w:val="24"/>
                <w:szCs w:val="24"/>
                <w:lang w:val="en-US"/>
              </w:rPr>
            </w:pPr>
            <w:r>
              <w:rPr>
                <w:rFonts w:ascii="Arial" w:hAnsi="Arial" w:cs="Arial"/>
                <w:sz w:val="24"/>
                <w:szCs w:val="24"/>
                <w:lang w:val="en-US"/>
              </w:rPr>
              <w:t>Do not follow a standard plan</w:t>
            </w:r>
          </w:p>
          <w:p w:rsidR="00D90DB0" w:rsidRPr="00D90DB0" w:rsidRDefault="00D90DB0" w:rsidP="00D90DB0">
            <w:pPr>
              <w:pStyle w:val="ListParagraph"/>
              <w:numPr>
                <w:ilvl w:val="1"/>
                <w:numId w:val="5"/>
              </w:numPr>
              <w:rPr>
                <w:rFonts w:ascii="Arial" w:hAnsi="Arial" w:cs="Arial"/>
                <w:color w:val="C00000"/>
                <w:sz w:val="24"/>
                <w:szCs w:val="24"/>
                <w:lang w:val="en-US"/>
              </w:rPr>
            </w:pPr>
            <w:r>
              <w:rPr>
                <w:rFonts w:ascii="Arial" w:hAnsi="Arial" w:cs="Arial"/>
                <w:sz w:val="24"/>
                <w:szCs w:val="24"/>
                <w:lang w:val="en-US"/>
              </w:rPr>
              <w:t>Process evolves as participants gain experience in the activity</w:t>
            </w:r>
          </w:p>
          <w:p w:rsidR="00D90DB0" w:rsidRPr="00D90DB0" w:rsidRDefault="00D90DB0" w:rsidP="00D90DB0">
            <w:pPr>
              <w:pStyle w:val="ListParagraph"/>
              <w:numPr>
                <w:ilvl w:val="0"/>
                <w:numId w:val="5"/>
              </w:numPr>
              <w:rPr>
                <w:rFonts w:ascii="Arial" w:hAnsi="Arial" w:cs="Arial"/>
                <w:color w:val="C00000"/>
                <w:sz w:val="24"/>
                <w:szCs w:val="24"/>
                <w:lang w:val="en-US"/>
              </w:rPr>
            </w:pPr>
            <w:r>
              <w:rPr>
                <w:rFonts w:ascii="Arial" w:hAnsi="Arial" w:cs="Arial"/>
                <w:sz w:val="24"/>
                <w:szCs w:val="24"/>
                <w:lang w:val="en-US"/>
              </w:rPr>
              <w:t>Record multiple rather than single realities</w:t>
            </w:r>
          </w:p>
          <w:p w:rsidR="00D90DB0" w:rsidRPr="00D90DB0" w:rsidRDefault="00D90DB0" w:rsidP="00D90DB0">
            <w:pPr>
              <w:pStyle w:val="ListParagraph"/>
              <w:numPr>
                <w:ilvl w:val="1"/>
                <w:numId w:val="5"/>
              </w:numPr>
              <w:rPr>
                <w:rFonts w:ascii="Arial" w:hAnsi="Arial" w:cs="Arial"/>
                <w:color w:val="C00000"/>
                <w:sz w:val="24"/>
                <w:szCs w:val="24"/>
                <w:lang w:val="en-US"/>
              </w:rPr>
            </w:pPr>
            <w:r>
              <w:rPr>
                <w:rFonts w:ascii="Arial" w:hAnsi="Arial" w:cs="Arial"/>
                <w:sz w:val="24"/>
                <w:szCs w:val="24"/>
                <w:lang w:val="en-US"/>
              </w:rPr>
              <w:t>Individuals have different perceived realities</w:t>
            </w:r>
          </w:p>
          <w:p w:rsidR="00D90DB0" w:rsidRDefault="00D90DB0" w:rsidP="00D90DB0">
            <w:pPr>
              <w:pStyle w:val="ListParagraph"/>
              <w:numPr>
                <w:ilvl w:val="1"/>
                <w:numId w:val="5"/>
              </w:numPr>
              <w:rPr>
                <w:rFonts w:ascii="Arial" w:hAnsi="Arial" w:cs="Arial"/>
                <w:color w:val="C00000"/>
                <w:sz w:val="24"/>
                <w:szCs w:val="24"/>
                <w:lang w:val="en-US"/>
              </w:rPr>
            </w:pPr>
            <w:r>
              <w:rPr>
                <w:rFonts w:ascii="Arial" w:hAnsi="Arial" w:cs="Arial"/>
                <w:sz w:val="24"/>
                <w:szCs w:val="24"/>
                <w:lang w:val="en-US"/>
              </w:rPr>
              <w:t>No one perspective is seen as true</w:t>
            </w:r>
          </w:p>
          <w:p w:rsidR="00D90DB0" w:rsidRPr="00D90DB0" w:rsidRDefault="00D90DB0" w:rsidP="00D90DB0">
            <w:pPr>
              <w:rPr>
                <w:rFonts w:ascii="Arial" w:hAnsi="Arial" w:cs="Arial"/>
                <w:color w:val="C00000"/>
                <w:sz w:val="24"/>
                <w:szCs w:val="24"/>
                <w:lang w:val="en-US"/>
              </w:rPr>
            </w:pPr>
          </w:p>
        </w:tc>
      </w:tr>
    </w:tbl>
    <w:p w:rsidR="00F534E0" w:rsidRDefault="006E7B50" w:rsidP="006E7B50">
      <w:pPr>
        <w:spacing w:after="0"/>
        <w:rPr>
          <w:rFonts w:ascii="Arial" w:hAnsi="Arial" w:cs="Arial"/>
          <w:color w:val="C00000"/>
          <w:sz w:val="24"/>
          <w:szCs w:val="24"/>
          <w:lang w:val="en-US"/>
        </w:rPr>
      </w:pPr>
      <w:r>
        <w:rPr>
          <w:rFonts w:ascii="Arial" w:hAnsi="Arial" w:cs="Arial"/>
          <w:color w:val="C00000"/>
          <w:sz w:val="24"/>
          <w:szCs w:val="24"/>
          <w:lang w:val="en-US"/>
        </w:rPr>
        <w:t>What are some of the main evaluation ‘frameworks’ that fall under the participant-oriented evaluation approach?</w:t>
      </w:r>
    </w:p>
    <w:p w:rsidR="006E7B50" w:rsidRDefault="006E7B50" w:rsidP="006E7B50">
      <w:pPr>
        <w:pStyle w:val="ListParagraph"/>
        <w:numPr>
          <w:ilvl w:val="0"/>
          <w:numId w:val="7"/>
        </w:numPr>
        <w:spacing w:after="0"/>
        <w:rPr>
          <w:rFonts w:ascii="Arial" w:hAnsi="Arial" w:cs="Arial"/>
          <w:color w:val="C00000"/>
          <w:sz w:val="24"/>
          <w:szCs w:val="24"/>
          <w:lang w:val="en-US"/>
        </w:rPr>
      </w:pPr>
      <w:r>
        <w:rPr>
          <w:rFonts w:ascii="Arial" w:hAnsi="Arial" w:cs="Arial"/>
          <w:color w:val="C00000"/>
          <w:sz w:val="24"/>
          <w:szCs w:val="24"/>
          <w:lang w:val="en-US"/>
        </w:rPr>
        <w:t>Stake’s Countenance Framework</w:t>
      </w:r>
      <w:r w:rsidR="005248B2">
        <w:rPr>
          <w:rFonts w:ascii="Arial" w:hAnsi="Arial" w:cs="Arial"/>
          <w:color w:val="C00000"/>
          <w:sz w:val="24"/>
          <w:szCs w:val="24"/>
          <w:lang w:val="en-US"/>
        </w:rPr>
        <w:t xml:space="preserve"> </w:t>
      </w:r>
    </w:p>
    <w:p w:rsidR="006E7B50" w:rsidRPr="006E7B50" w:rsidRDefault="006E7B50"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Stake’s work laid the foundation for much of the following working in this area</w:t>
      </w:r>
    </w:p>
    <w:p w:rsidR="006E7B50" w:rsidRPr="006E7B50" w:rsidRDefault="006E7B50"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 xml:space="preserve">For Stake, the 2 ‘countenances’ of evaluation are </w:t>
      </w:r>
      <w:r>
        <w:rPr>
          <w:rFonts w:ascii="Arial" w:hAnsi="Arial" w:cs="Arial"/>
          <w:i/>
          <w:sz w:val="24"/>
          <w:szCs w:val="24"/>
          <w:lang w:val="en-US"/>
        </w:rPr>
        <w:t xml:space="preserve">description </w:t>
      </w:r>
      <w:r w:rsidRPr="006E7B50">
        <w:rPr>
          <w:rFonts w:ascii="Arial" w:hAnsi="Arial" w:cs="Arial"/>
          <w:sz w:val="24"/>
          <w:szCs w:val="24"/>
          <w:lang w:val="en-US"/>
        </w:rPr>
        <w:t>and</w:t>
      </w:r>
      <w:r>
        <w:rPr>
          <w:rFonts w:ascii="Arial" w:hAnsi="Arial" w:cs="Arial"/>
          <w:i/>
          <w:sz w:val="24"/>
          <w:szCs w:val="24"/>
          <w:lang w:val="en-US"/>
        </w:rPr>
        <w:t xml:space="preserve"> judgment,</w:t>
      </w:r>
    </w:p>
    <w:p w:rsidR="006E7B50" w:rsidRPr="006E7B50" w:rsidRDefault="006E7B50"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Within this framework, the evaluator must:</w:t>
      </w:r>
    </w:p>
    <w:p w:rsidR="006E7B50" w:rsidRPr="005D0B3F" w:rsidRDefault="006E7B50" w:rsidP="006E7B50">
      <w:pPr>
        <w:pStyle w:val="ListParagraph"/>
        <w:numPr>
          <w:ilvl w:val="2"/>
          <w:numId w:val="7"/>
        </w:numPr>
        <w:spacing w:after="0"/>
        <w:ind w:left="1008"/>
        <w:rPr>
          <w:rFonts w:ascii="Arial" w:hAnsi="Arial" w:cs="Arial"/>
          <w:color w:val="C00000"/>
          <w:sz w:val="24"/>
          <w:szCs w:val="24"/>
          <w:lang w:val="en-US"/>
        </w:rPr>
      </w:pPr>
      <w:r>
        <w:rPr>
          <w:rFonts w:ascii="Arial" w:hAnsi="Arial" w:cs="Arial"/>
          <w:sz w:val="24"/>
          <w:szCs w:val="24"/>
          <w:lang w:val="en-US"/>
        </w:rPr>
        <w:t>Provide a background, justification</w:t>
      </w:r>
      <w:r w:rsidR="005D0B3F">
        <w:rPr>
          <w:rFonts w:ascii="Arial" w:hAnsi="Arial" w:cs="Arial"/>
          <w:sz w:val="24"/>
          <w:szCs w:val="24"/>
          <w:lang w:val="en-US"/>
        </w:rPr>
        <w:t xml:space="preserve"> and description of the program rationale;</w:t>
      </w:r>
    </w:p>
    <w:p w:rsidR="005D0B3F" w:rsidRPr="005D0B3F" w:rsidRDefault="005D0B3F" w:rsidP="006E7B50">
      <w:pPr>
        <w:pStyle w:val="ListParagraph"/>
        <w:numPr>
          <w:ilvl w:val="2"/>
          <w:numId w:val="7"/>
        </w:numPr>
        <w:spacing w:after="0"/>
        <w:ind w:left="1008"/>
        <w:rPr>
          <w:rFonts w:ascii="Arial" w:hAnsi="Arial" w:cs="Arial"/>
          <w:color w:val="C00000"/>
          <w:sz w:val="24"/>
          <w:szCs w:val="24"/>
          <w:lang w:val="en-US"/>
        </w:rPr>
      </w:pPr>
      <w:r>
        <w:rPr>
          <w:rFonts w:ascii="Arial" w:hAnsi="Arial" w:cs="Arial"/>
          <w:sz w:val="24"/>
          <w:szCs w:val="24"/>
          <w:lang w:val="en-US"/>
        </w:rPr>
        <w:t>List intended  antecedents (inputs, resources, existing conditions), transactions, (activities, processes), &amp; outcomes;</w:t>
      </w:r>
    </w:p>
    <w:p w:rsidR="005D0B3F" w:rsidRPr="005D0B3F" w:rsidRDefault="005D0B3F" w:rsidP="006E7B50">
      <w:pPr>
        <w:pStyle w:val="ListParagraph"/>
        <w:numPr>
          <w:ilvl w:val="2"/>
          <w:numId w:val="7"/>
        </w:numPr>
        <w:spacing w:after="0"/>
        <w:ind w:left="1008"/>
        <w:rPr>
          <w:rFonts w:ascii="Arial" w:hAnsi="Arial" w:cs="Arial"/>
          <w:color w:val="C00000"/>
          <w:sz w:val="24"/>
          <w:szCs w:val="24"/>
          <w:lang w:val="en-US"/>
        </w:rPr>
      </w:pPr>
      <w:r>
        <w:rPr>
          <w:rFonts w:ascii="Arial" w:hAnsi="Arial" w:cs="Arial"/>
          <w:sz w:val="24"/>
          <w:szCs w:val="24"/>
          <w:lang w:val="en-US"/>
        </w:rPr>
        <w:t>Record those items in #2, including listing unexpected outcomes;</w:t>
      </w:r>
    </w:p>
    <w:p w:rsidR="005D0B3F" w:rsidRPr="005D0B3F" w:rsidRDefault="005D0B3F" w:rsidP="006E7B50">
      <w:pPr>
        <w:pStyle w:val="ListParagraph"/>
        <w:numPr>
          <w:ilvl w:val="2"/>
          <w:numId w:val="7"/>
        </w:numPr>
        <w:spacing w:after="0"/>
        <w:ind w:left="1008"/>
        <w:rPr>
          <w:rFonts w:ascii="Arial" w:hAnsi="Arial" w:cs="Arial"/>
          <w:color w:val="C00000"/>
          <w:sz w:val="24"/>
          <w:szCs w:val="24"/>
          <w:lang w:val="en-US"/>
        </w:rPr>
      </w:pPr>
      <w:r>
        <w:rPr>
          <w:rFonts w:ascii="Arial" w:hAnsi="Arial" w:cs="Arial"/>
          <w:sz w:val="24"/>
          <w:szCs w:val="24"/>
          <w:lang w:val="en-US"/>
        </w:rPr>
        <w:t>Explicitly state the standards for judging those items #2; and</w:t>
      </w:r>
    </w:p>
    <w:p w:rsidR="005D0B3F" w:rsidRPr="005D0B3F" w:rsidRDefault="005D0B3F" w:rsidP="006E7B50">
      <w:pPr>
        <w:pStyle w:val="ListParagraph"/>
        <w:numPr>
          <w:ilvl w:val="2"/>
          <w:numId w:val="7"/>
        </w:numPr>
        <w:spacing w:after="0"/>
        <w:ind w:left="1008"/>
        <w:rPr>
          <w:rFonts w:ascii="Arial" w:hAnsi="Arial" w:cs="Arial"/>
          <w:color w:val="C00000"/>
          <w:sz w:val="24"/>
          <w:szCs w:val="24"/>
          <w:lang w:val="en-US"/>
        </w:rPr>
      </w:pPr>
      <w:r>
        <w:rPr>
          <w:rFonts w:ascii="Arial" w:hAnsi="Arial" w:cs="Arial"/>
          <w:sz w:val="24"/>
          <w:szCs w:val="24"/>
          <w:lang w:val="en-US"/>
        </w:rPr>
        <w:t>Record the information as it relates to those items #2.</w:t>
      </w:r>
    </w:p>
    <w:p w:rsidR="005D0B3F" w:rsidRPr="005D0B3F" w:rsidRDefault="005D0B3F"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 xml:space="preserve">Through the use of a description matrix, the evaluator can look at congruence between intents and observations, and by looking at dependencies of outcomes on transactions and antecedents, and transactions on antecedents (Fitzpatrick, </w:t>
      </w:r>
      <w:r>
        <w:rPr>
          <w:rFonts w:ascii="Arial" w:hAnsi="Arial" w:cs="Arial"/>
          <w:i/>
          <w:sz w:val="24"/>
          <w:szCs w:val="24"/>
          <w:lang w:val="en-US"/>
        </w:rPr>
        <w:t xml:space="preserve">et al., </w:t>
      </w:r>
      <w:r>
        <w:rPr>
          <w:rFonts w:ascii="Arial" w:hAnsi="Arial" w:cs="Arial"/>
          <w:sz w:val="24"/>
          <w:szCs w:val="24"/>
          <w:lang w:val="en-US"/>
        </w:rPr>
        <w:t>2004, p. 135).</w:t>
      </w:r>
    </w:p>
    <w:p w:rsidR="006E7B50" w:rsidRPr="006E7B50" w:rsidRDefault="006E7B50" w:rsidP="006E7B50">
      <w:pPr>
        <w:pStyle w:val="ListParagraph"/>
        <w:numPr>
          <w:ilvl w:val="0"/>
          <w:numId w:val="7"/>
        </w:numPr>
        <w:spacing w:after="0"/>
        <w:rPr>
          <w:rFonts w:ascii="Arial" w:hAnsi="Arial" w:cs="Arial"/>
          <w:color w:val="C00000"/>
          <w:sz w:val="24"/>
          <w:szCs w:val="24"/>
          <w:lang w:val="en-US"/>
        </w:rPr>
      </w:pPr>
      <w:r>
        <w:rPr>
          <w:rFonts w:ascii="Arial" w:hAnsi="Arial" w:cs="Arial"/>
          <w:color w:val="C00000"/>
          <w:sz w:val="24"/>
          <w:szCs w:val="24"/>
          <w:lang w:val="en-US"/>
        </w:rPr>
        <w:t>Responsive Evaluation</w:t>
      </w:r>
    </w:p>
    <w:p w:rsidR="0075572E" w:rsidRPr="005D0B3F" w:rsidRDefault="005D0B3F"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Stake’s expansion on his original countenance framework – it is less formal, more pluralistic and process focused than the preceding framework</w:t>
      </w:r>
    </w:p>
    <w:p w:rsidR="005D0B3F" w:rsidRPr="00710994" w:rsidRDefault="004B6F83"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Central focus of this approach is to address concerns and issues of stakeholder audience</w:t>
      </w:r>
      <w:r w:rsidR="00710994">
        <w:rPr>
          <w:rFonts w:ascii="Arial" w:hAnsi="Arial" w:cs="Arial"/>
          <w:sz w:val="24"/>
          <w:szCs w:val="24"/>
          <w:lang w:val="en-US"/>
        </w:rPr>
        <w:t xml:space="preserve"> </w:t>
      </w:r>
    </w:p>
    <w:p w:rsidR="00710994" w:rsidRPr="00710994" w:rsidRDefault="00710994"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 xml:space="preserve">Stake (as cited in Fitzpatrick, </w:t>
      </w:r>
      <w:r>
        <w:rPr>
          <w:rFonts w:ascii="Arial" w:hAnsi="Arial" w:cs="Arial"/>
          <w:i/>
          <w:sz w:val="24"/>
          <w:szCs w:val="24"/>
          <w:lang w:val="en-US"/>
        </w:rPr>
        <w:t xml:space="preserve">et al., </w:t>
      </w:r>
      <w:r>
        <w:rPr>
          <w:rFonts w:ascii="Arial" w:hAnsi="Arial" w:cs="Arial"/>
          <w:sz w:val="24"/>
          <w:szCs w:val="24"/>
          <w:lang w:val="en-US"/>
        </w:rPr>
        <w:t xml:space="preserve">2004) suggested that “responsive evaluation is what people do naturally in evaluating things.  They observe and react” (p. 136).  For Stake it was the focus on dong what comes natural, and therefore it doesn’t make sense to follow some set of rules to guide the evaluation plan. </w:t>
      </w:r>
    </w:p>
    <w:p w:rsidR="00710994" w:rsidRPr="00710994" w:rsidRDefault="00710994"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Evaluation should relate to program activities rather than program intents</w:t>
      </w:r>
    </w:p>
    <w:p w:rsidR="00710994" w:rsidRPr="00F647F1" w:rsidRDefault="00710994"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 xml:space="preserve">For Stake, the ultimate test of evaluation is whether it informs the </w:t>
      </w:r>
      <w:r w:rsidR="00FC5433">
        <w:rPr>
          <w:rFonts w:ascii="Arial" w:hAnsi="Arial" w:cs="Arial"/>
          <w:sz w:val="24"/>
          <w:szCs w:val="24"/>
          <w:lang w:val="en-US"/>
        </w:rPr>
        <w:t>participants understanding of what is being evaluated</w:t>
      </w:r>
      <w:r w:rsidR="00C5132F">
        <w:rPr>
          <w:rFonts w:ascii="Arial" w:hAnsi="Arial" w:cs="Arial"/>
          <w:sz w:val="24"/>
          <w:szCs w:val="24"/>
          <w:lang w:val="en-US"/>
        </w:rPr>
        <w:t xml:space="preserve"> – this is garnered through ongoing interaction between the responsive evaluator and </w:t>
      </w:r>
      <w:r w:rsidR="00F647F1">
        <w:rPr>
          <w:rFonts w:ascii="Arial" w:hAnsi="Arial" w:cs="Arial"/>
          <w:sz w:val="24"/>
          <w:szCs w:val="24"/>
          <w:lang w:val="en-US"/>
        </w:rPr>
        <w:t>participants</w:t>
      </w:r>
    </w:p>
    <w:p w:rsidR="00F647F1" w:rsidRPr="000F7D85" w:rsidRDefault="00F647F1" w:rsidP="005D0B3F">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Recommendations come in the form of judgments on preferred outcomes, etc</w:t>
      </w:r>
    </w:p>
    <w:p w:rsidR="000F7D85" w:rsidRDefault="00F647F1" w:rsidP="00F647F1">
      <w:pPr>
        <w:pStyle w:val="ListParagraph"/>
        <w:numPr>
          <w:ilvl w:val="0"/>
          <w:numId w:val="7"/>
        </w:numPr>
        <w:spacing w:after="0"/>
        <w:rPr>
          <w:rFonts w:ascii="Arial" w:hAnsi="Arial" w:cs="Arial"/>
          <w:color w:val="C00000"/>
          <w:sz w:val="24"/>
          <w:szCs w:val="24"/>
          <w:lang w:val="en-US"/>
        </w:rPr>
      </w:pPr>
      <w:r>
        <w:rPr>
          <w:rFonts w:ascii="Arial" w:hAnsi="Arial" w:cs="Arial"/>
          <w:color w:val="C00000"/>
          <w:sz w:val="24"/>
          <w:szCs w:val="24"/>
          <w:lang w:val="en-US"/>
        </w:rPr>
        <w:t>Naturalistic evaluation</w:t>
      </w:r>
    </w:p>
    <w:p w:rsidR="005248B2" w:rsidRPr="003014FA" w:rsidRDefault="005248B2" w:rsidP="005248B2">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The evaluator is seen as the learner, where the participants are the teachers as they interacted, unimpeded by the evaluator, in their natural environment</w:t>
      </w:r>
    </w:p>
    <w:p w:rsidR="003014FA" w:rsidRPr="003014FA" w:rsidRDefault="003014FA" w:rsidP="005248B2">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Triangulation is used as a means to establish credibility of data</w:t>
      </w:r>
    </w:p>
    <w:p w:rsidR="003014FA" w:rsidRPr="003014FA" w:rsidRDefault="003014FA" w:rsidP="005248B2">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Applicability of data is enhanced by the development of a working hypothesis</w:t>
      </w:r>
    </w:p>
    <w:p w:rsidR="003014FA" w:rsidRDefault="005A1CE3" w:rsidP="005A1CE3">
      <w:pPr>
        <w:pStyle w:val="ListParagraph"/>
        <w:numPr>
          <w:ilvl w:val="0"/>
          <w:numId w:val="7"/>
        </w:numPr>
        <w:spacing w:after="0"/>
        <w:rPr>
          <w:rFonts w:ascii="Arial" w:hAnsi="Arial" w:cs="Arial"/>
          <w:color w:val="C00000"/>
          <w:sz w:val="24"/>
          <w:szCs w:val="24"/>
          <w:lang w:val="en-US"/>
        </w:rPr>
      </w:pPr>
      <w:r w:rsidRPr="005A1CE3">
        <w:rPr>
          <w:rFonts w:ascii="Arial" w:hAnsi="Arial" w:cs="Arial"/>
          <w:color w:val="C00000"/>
          <w:sz w:val="24"/>
          <w:szCs w:val="24"/>
          <w:lang w:val="en-US"/>
        </w:rPr>
        <w:t>Participatory Approach</w:t>
      </w:r>
    </w:p>
    <w:p w:rsidR="005A1CE3" w:rsidRPr="00237465" w:rsidRDefault="00237465" w:rsidP="005A1CE3">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 xml:space="preserve">This notion of evaluation looks at the participant, not in terms of the individuals that partake in the program being evaluated, but (if I understand this correctly) program coordinators who work closely with an evaluator it “inform and improve program implementation” (Fitzpatrick, </w:t>
      </w:r>
      <w:r>
        <w:rPr>
          <w:rFonts w:ascii="Arial" w:hAnsi="Arial" w:cs="Arial"/>
          <w:i/>
          <w:sz w:val="24"/>
          <w:szCs w:val="24"/>
          <w:lang w:val="en-US"/>
        </w:rPr>
        <w:t xml:space="preserve">et al., </w:t>
      </w:r>
      <w:r>
        <w:rPr>
          <w:rFonts w:ascii="Arial" w:hAnsi="Arial" w:cs="Arial"/>
          <w:sz w:val="24"/>
          <w:szCs w:val="24"/>
          <w:lang w:val="en-US"/>
        </w:rPr>
        <w:t>2004, p. 142).</w:t>
      </w:r>
    </w:p>
    <w:p w:rsidR="00237465" w:rsidRDefault="00237465" w:rsidP="00237465">
      <w:pPr>
        <w:pStyle w:val="ListParagraph"/>
        <w:numPr>
          <w:ilvl w:val="0"/>
          <w:numId w:val="7"/>
        </w:numPr>
        <w:spacing w:after="0"/>
        <w:rPr>
          <w:rFonts w:ascii="Arial" w:hAnsi="Arial" w:cs="Arial"/>
          <w:color w:val="C00000"/>
          <w:sz w:val="24"/>
          <w:szCs w:val="24"/>
          <w:lang w:val="en-US"/>
        </w:rPr>
      </w:pPr>
      <w:r>
        <w:rPr>
          <w:rFonts w:ascii="Arial" w:hAnsi="Arial" w:cs="Arial"/>
          <w:color w:val="C00000"/>
          <w:sz w:val="24"/>
          <w:szCs w:val="24"/>
          <w:lang w:val="en-US"/>
        </w:rPr>
        <w:t>Utilization-Focused Evaluation</w:t>
      </w:r>
    </w:p>
    <w:p w:rsidR="00710D70" w:rsidRPr="00710D70" w:rsidRDefault="00710D70" w:rsidP="00237465">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This approach suggests that evaluations should be judged by how it will be used, and whom it will be used by.  Therefore it is imperative that the end users be involved in the evaluation development process from beginning to end.  (Given that the end users may not be participants, I am not sure how this is deemed a participant model, unless the participants are those that use the outcomes, not the individuals partaking in the program??</w:t>
      </w:r>
    </w:p>
    <w:p w:rsidR="00237465" w:rsidRDefault="00710D70" w:rsidP="00710D70">
      <w:pPr>
        <w:pStyle w:val="ListParagraph"/>
        <w:numPr>
          <w:ilvl w:val="0"/>
          <w:numId w:val="7"/>
        </w:numPr>
        <w:spacing w:after="0"/>
        <w:rPr>
          <w:rFonts w:ascii="Arial" w:hAnsi="Arial" w:cs="Arial"/>
          <w:color w:val="C00000"/>
          <w:sz w:val="24"/>
          <w:szCs w:val="24"/>
          <w:lang w:val="en-US"/>
        </w:rPr>
      </w:pPr>
      <w:r w:rsidRPr="006B69EB">
        <w:rPr>
          <w:rFonts w:ascii="Arial" w:hAnsi="Arial" w:cs="Arial"/>
          <w:color w:val="C00000"/>
          <w:sz w:val="24"/>
          <w:szCs w:val="24"/>
          <w:lang w:val="en-US"/>
        </w:rPr>
        <w:t xml:space="preserve">Empowerment  </w:t>
      </w:r>
      <w:r w:rsidR="00DD1645" w:rsidRPr="006B69EB">
        <w:rPr>
          <w:rFonts w:ascii="Arial" w:hAnsi="Arial" w:cs="Arial"/>
          <w:color w:val="C00000"/>
          <w:sz w:val="24"/>
          <w:szCs w:val="24"/>
          <w:lang w:val="en-US"/>
        </w:rPr>
        <w:t>Evaluation</w:t>
      </w:r>
    </w:p>
    <w:p w:rsidR="006B69EB" w:rsidRPr="0090126A" w:rsidRDefault="0090126A" w:rsidP="006B69EB">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Extension of the belief that evaluators should be advocates or the voice of the disenfranchised</w:t>
      </w:r>
    </w:p>
    <w:p w:rsidR="0090126A" w:rsidRPr="00663CD8" w:rsidRDefault="00663CD8" w:rsidP="006B69EB">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 xml:space="preserve">According to Fetterman (as cited in Fitzpatrick, </w:t>
      </w:r>
      <w:r>
        <w:rPr>
          <w:rFonts w:ascii="Arial" w:hAnsi="Arial" w:cs="Arial"/>
          <w:i/>
          <w:sz w:val="24"/>
          <w:szCs w:val="24"/>
          <w:lang w:val="en-US"/>
        </w:rPr>
        <w:t xml:space="preserve">et al., </w:t>
      </w:r>
      <w:r>
        <w:rPr>
          <w:rFonts w:ascii="Arial" w:hAnsi="Arial" w:cs="Arial"/>
          <w:sz w:val="24"/>
          <w:szCs w:val="24"/>
          <w:lang w:val="en-US"/>
        </w:rPr>
        <w:t>2004) the following advantages are inherent in empowerment evaluation:</w:t>
      </w:r>
    </w:p>
    <w:tbl>
      <w:tblPr>
        <w:tblStyle w:val="TableGrid"/>
        <w:tblW w:w="0" w:type="auto"/>
        <w:tblInd w:w="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0"/>
        <w:gridCol w:w="4648"/>
      </w:tblGrid>
      <w:tr w:rsidR="00663CD8" w:rsidTr="00663CD8">
        <w:tc>
          <w:tcPr>
            <w:tcW w:w="4932" w:type="dxa"/>
          </w:tcPr>
          <w:p w:rsidR="00663CD8" w:rsidRPr="00663CD8" w:rsidRDefault="00663CD8" w:rsidP="00663CD8">
            <w:pPr>
              <w:pStyle w:val="ListParagraph"/>
              <w:numPr>
                <w:ilvl w:val="0"/>
                <w:numId w:val="8"/>
              </w:numPr>
              <w:rPr>
                <w:rFonts w:ascii="Arial" w:hAnsi="Arial" w:cs="Arial"/>
                <w:color w:val="C00000"/>
                <w:sz w:val="24"/>
                <w:szCs w:val="24"/>
                <w:lang w:val="en-US"/>
              </w:rPr>
            </w:pPr>
            <w:r>
              <w:rPr>
                <w:rFonts w:ascii="Arial" w:hAnsi="Arial" w:cs="Arial"/>
                <w:sz w:val="24"/>
                <w:szCs w:val="24"/>
                <w:lang w:val="en-US"/>
              </w:rPr>
              <w:t>Training</w:t>
            </w:r>
          </w:p>
          <w:p w:rsidR="00663CD8" w:rsidRPr="00663CD8" w:rsidRDefault="00663CD8" w:rsidP="00663CD8">
            <w:pPr>
              <w:pStyle w:val="ListParagraph"/>
              <w:numPr>
                <w:ilvl w:val="0"/>
                <w:numId w:val="8"/>
              </w:numPr>
              <w:rPr>
                <w:rFonts w:ascii="Arial" w:hAnsi="Arial" w:cs="Arial"/>
                <w:color w:val="C00000"/>
                <w:sz w:val="24"/>
                <w:szCs w:val="24"/>
                <w:lang w:val="en-US"/>
              </w:rPr>
            </w:pPr>
            <w:r>
              <w:rPr>
                <w:rFonts w:ascii="Arial" w:hAnsi="Arial" w:cs="Arial"/>
                <w:sz w:val="24"/>
                <w:szCs w:val="24"/>
                <w:lang w:val="en-US"/>
              </w:rPr>
              <w:t>Facilitation</w:t>
            </w:r>
          </w:p>
          <w:p w:rsidR="00663CD8" w:rsidRDefault="00663CD8" w:rsidP="00663CD8">
            <w:pPr>
              <w:pStyle w:val="ListParagraph"/>
              <w:numPr>
                <w:ilvl w:val="0"/>
                <w:numId w:val="8"/>
              </w:numPr>
              <w:rPr>
                <w:rFonts w:ascii="Arial" w:hAnsi="Arial" w:cs="Arial"/>
                <w:color w:val="C00000"/>
                <w:sz w:val="24"/>
                <w:szCs w:val="24"/>
                <w:lang w:val="en-US"/>
              </w:rPr>
            </w:pPr>
            <w:r>
              <w:rPr>
                <w:rFonts w:ascii="Arial" w:hAnsi="Arial" w:cs="Arial"/>
                <w:sz w:val="24"/>
                <w:szCs w:val="24"/>
                <w:lang w:val="en-US"/>
              </w:rPr>
              <w:t>Advocacy</w:t>
            </w:r>
          </w:p>
        </w:tc>
        <w:tc>
          <w:tcPr>
            <w:tcW w:w="4932" w:type="dxa"/>
          </w:tcPr>
          <w:p w:rsidR="00663CD8" w:rsidRPr="00663CD8" w:rsidRDefault="00663CD8" w:rsidP="00663CD8">
            <w:pPr>
              <w:pStyle w:val="ListParagraph"/>
              <w:numPr>
                <w:ilvl w:val="0"/>
                <w:numId w:val="8"/>
              </w:numPr>
              <w:rPr>
                <w:rFonts w:ascii="Arial" w:hAnsi="Arial" w:cs="Arial"/>
                <w:sz w:val="24"/>
                <w:szCs w:val="24"/>
                <w:lang w:val="en-US"/>
              </w:rPr>
            </w:pPr>
            <w:r w:rsidRPr="00663CD8">
              <w:rPr>
                <w:rFonts w:ascii="Arial" w:hAnsi="Arial" w:cs="Arial"/>
                <w:sz w:val="24"/>
                <w:szCs w:val="24"/>
                <w:lang w:val="en-US"/>
              </w:rPr>
              <w:t>Illumination</w:t>
            </w:r>
          </w:p>
          <w:p w:rsidR="00663CD8" w:rsidRDefault="00663CD8" w:rsidP="00663CD8">
            <w:pPr>
              <w:pStyle w:val="ListParagraph"/>
              <w:numPr>
                <w:ilvl w:val="0"/>
                <w:numId w:val="8"/>
              </w:numPr>
              <w:rPr>
                <w:rFonts w:ascii="Arial" w:hAnsi="Arial" w:cs="Arial"/>
                <w:color w:val="C00000"/>
                <w:sz w:val="24"/>
                <w:szCs w:val="24"/>
                <w:lang w:val="en-US"/>
              </w:rPr>
            </w:pPr>
            <w:r w:rsidRPr="00663CD8">
              <w:rPr>
                <w:rFonts w:ascii="Arial" w:hAnsi="Arial" w:cs="Arial"/>
                <w:sz w:val="24"/>
                <w:szCs w:val="24"/>
                <w:lang w:val="en-US"/>
              </w:rPr>
              <w:t>Liberation</w:t>
            </w:r>
            <w:r>
              <w:rPr>
                <w:rFonts w:ascii="Arial" w:hAnsi="Arial" w:cs="Arial"/>
                <w:color w:val="C00000"/>
                <w:sz w:val="24"/>
                <w:szCs w:val="24"/>
                <w:lang w:val="en-US"/>
              </w:rPr>
              <w:t xml:space="preserve"> </w:t>
            </w:r>
          </w:p>
        </w:tc>
      </w:tr>
    </w:tbl>
    <w:p w:rsidR="00663CD8" w:rsidRPr="00663CD8" w:rsidRDefault="00663CD8" w:rsidP="006B69EB">
      <w:pPr>
        <w:pStyle w:val="ListParagraph"/>
        <w:numPr>
          <w:ilvl w:val="1"/>
          <w:numId w:val="7"/>
        </w:numPr>
        <w:spacing w:after="0"/>
        <w:ind w:left="576"/>
        <w:rPr>
          <w:rFonts w:ascii="Arial" w:hAnsi="Arial" w:cs="Arial"/>
          <w:color w:val="C00000"/>
          <w:sz w:val="24"/>
          <w:szCs w:val="24"/>
          <w:lang w:val="en-US"/>
        </w:rPr>
      </w:pPr>
      <w:r>
        <w:rPr>
          <w:rFonts w:ascii="Arial" w:hAnsi="Arial" w:cs="Arial"/>
          <w:sz w:val="24"/>
          <w:szCs w:val="24"/>
          <w:lang w:val="en-US"/>
        </w:rPr>
        <w:t>Tends to be a lack of agreement on what constitutes the ‘empowerment approach’</w:t>
      </w:r>
    </w:p>
    <w:p w:rsidR="0075572E" w:rsidRDefault="00806F1E" w:rsidP="001B735B">
      <w:pPr>
        <w:pStyle w:val="ListParagraph"/>
        <w:numPr>
          <w:ilvl w:val="1"/>
          <w:numId w:val="7"/>
        </w:numPr>
        <w:spacing w:after="0"/>
        <w:ind w:left="576"/>
        <w:rPr>
          <w:rFonts w:ascii="Arial" w:hAnsi="Arial" w:cs="Arial"/>
          <w:color w:val="C00000"/>
          <w:sz w:val="24"/>
          <w:szCs w:val="24"/>
          <w:lang w:val="en-US"/>
        </w:rPr>
      </w:pPr>
      <w:r w:rsidRPr="00C35433">
        <w:rPr>
          <w:rFonts w:ascii="Arial" w:hAnsi="Arial" w:cs="Arial"/>
          <w:sz w:val="24"/>
          <w:szCs w:val="24"/>
          <w:lang w:val="en-US"/>
        </w:rPr>
        <w:t>The slide presentation suggests that empowerment evaluation is used as a means  to increase the likelihood of achieving program success through giving the stakeholders of the program the tools for ‘planning, implementation, and self-evaluation of their program’ (Fetterman, 2007, slide 15)</w:t>
      </w:r>
    </w:p>
    <w:p w:rsidR="00C35433" w:rsidRPr="00C35433" w:rsidRDefault="00C35433" w:rsidP="00C35433">
      <w:pPr>
        <w:spacing w:after="0"/>
        <w:rPr>
          <w:rFonts w:ascii="Arial" w:hAnsi="Arial" w:cs="Arial"/>
          <w:color w:val="C00000"/>
          <w:sz w:val="24"/>
          <w:szCs w:val="24"/>
          <w:lang w:val="en-US"/>
        </w:rPr>
      </w:pPr>
      <w:r w:rsidRPr="00C35433">
        <w:rPr>
          <w:rFonts w:ascii="Arial" w:hAnsi="Arial" w:cs="Arial"/>
          <w:color w:val="C00000"/>
          <w:sz w:val="24"/>
          <w:szCs w:val="24"/>
          <w:lang w:val="en-US"/>
        </w:rPr>
        <w:t>In terms of the evaluation approaches discusses over the last 5 chapters...what is the good, bad and ugly?</w:t>
      </w:r>
    </w:p>
    <w:p w:rsidR="007E79BB" w:rsidRPr="007E79BB" w:rsidRDefault="00C35433" w:rsidP="00C35433">
      <w:pPr>
        <w:pStyle w:val="ListParagraph"/>
        <w:numPr>
          <w:ilvl w:val="0"/>
          <w:numId w:val="7"/>
        </w:numPr>
        <w:spacing w:after="0"/>
        <w:rPr>
          <w:rFonts w:ascii="Arial" w:hAnsi="Arial" w:cs="Arial"/>
          <w:color w:val="C00000"/>
          <w:sz w:val="24"/>
          <w:szCs w:val="24"/>
          <w:lang w:val="en-US"/>
        </w:rPr>
      </w:pPr>
      <w:r>
        <w:rPr>
          <w:rFonts w:ascii="Arial" w:hAnsi="Arial" w:cs="Arial"/>
          <w:sz w:val="24"/>
          <w:szCs w:val="24"/>
          <w:lang w:val="en-US"/>
        </w:rPr>
        <w:t>In terms of determining where the field of evaluation</w:t>
      </w:r>
      <w:r w:rsidR="002D1277">
        <w:rPr>
          <w:rFonts w:ascii="Arial" w:hAnsi="Arial" w:cs="Arial"/>
          <w:sz w:val="24"/>
          <w:szCs w:val="24"/>
          <w:lang w:val="en-US"/>
        </w:rPr>
        <w:t xml:space="preserve"> stands</w:t>
      </w:r>
      <w:r>
        <w:rPr>
          <w:rFonts w:ascii="Arial" w:hAnsi="Arial" w:cs="Arial"/>
          <w:sz w:val="24"/>
          <w:szCs w:val="24"/>
          <w:lang w:val="en-US"/>
        </w:rPr>
        <w:t>, it is imperative to remember that evaluation, in and of itself, is</w:t>
      </w:r>
      <w:r w:rsidR="007E79BB">
        <w:rPr>
          <w:rFonts w:ascii="Arial" w:hAnsi="Arial" w:cs="Arial"/>
          <w:sz w:val="24"/>
          <w:szCs w:val="24"/>
          <w:lang w:val="en-US"/>
        </w:rPr>
        <w:t xml:space="preserve"> not housed in one particular discipline, indeed it is </w:t>
      </w:r>
      <w:r>
        <w:rPr>
          <w:rFonts w:ascii="Arial" w:hAnsi="Arial" w:cs="Arial"/>
          <w:sz w:val="24"/>
          <w:szCs w:val="24"/>
          <w:lang w:val="en-US"/>
        </w:rPr>
        <w:t xml:space="preserve"> </w:t>
      </w:r>
      <w:r w:rsidR="007E79BB">
        <w:rPr>
          <w:rFonts w:ascii="Arial" w:hAnsi="Arial" w:cs="Arial"/>
          <w:sz w:val="24"/>
          <w:szCs w:val="24"/>
          <w:lang w:val="en-US"/>
        </w:rPr>
        <w:t>based on many disciplines</w:t>
      </w:r>
    </w:p>
    <w:p w:rsidR="00C35433" w:rsidRPr="005B4BD6" w:rsidRDefault="007E79BB" w:rsidP="00C35433">
      <w:pPr>
        <w:pStyle w:val="ListParagraph"/>
        <w:numPr>
          <w:ilvl w:val="0"/>
          <w:numId w:val="7"/>
        </w:numPr>
        <w:spacing w:after="0"/>
        <w:rPr>
          <w:rFonts w:ascii="Arial" w:hAnsi="Arial" w:cs="Arial"/>
          <w:color w:val="C00000"/>
          <w:sz w:val="24"/>
          <w:szCs w:val="24"/>
          <w:lang w:val="en-US"/>
        </w:rPr>
      </w:pPr>
      <w:r>
        <w:rPr>
          <w:rFonts w:ascii="Arial" w:hAnsi="Arial" w:cs="Arial"/>
          <w:sz w:val="24"/>
          <w:szCs w:val="24"/>
          <w:lang w:val="en-US"/>
        </w:rPr>
        <w:t xml:space="preserve">The approaches listed in the preceding chapters do not make the litmus test as being models or theories.  However, that doesn’t take away from the fact that they are useful in helping evaluators have some type of logical structure from which to begin the process of </w:t>
      </w:r>
      <w:r w:rsidR="005B4BD6">
        <w:rPr>
          <w:rFonts w:ascii="Arial" w:hAnsi="Arial" w:cs="Arial"/>
          <w:sz w:val="24"/>
          <w:szCs w:val="24"/>
          <w:lang w:val="en-US"/>
        </w:rPr>
        <w:t>evaluation</w:t>
      </w:r>
      <w:r w:rsidR="00C35433">
        <w:rPr>
          <w:rFonts w:ascii="Arial" w:hAnsi="Arial" w:cs="Arial"/>
          <w:sz w:val="24"/>
          <w:szCs w:val="24"/>
          <w:lang w:val="en-US"/>
        </w:rPr>
        <w:t xml:space="preserve"> </w:t>
      </w:r>
    </w:p>
    <w:p w:rsidR="002D1277" w:rsidRPr="002D1277" w:rsidRDefault="002D1277" w:rsidP="00C35433">
      <w:pPr>
        <w:pStyle w:val="ListParagraph"/>
        <w:numPr>
          <w:ilvl w:val="0"/>
          <w:numId w:val="7"/>
        </w:numPr>
        <w:spacing w:after="0"/>
        <w:rPr>
          <w:rFonts w:ascii="Arial" w:hAnsi="Arial" w:cs="Arial"/>
          <w:color w:val="C00000"/>
          <w:sz w:val="24"/>
          <w:szCs w:val="24"/>
          <w:lang w:val="en-US"/>
        </w:rPr>
      </w:pPr>
      <w:r>
        <w:rPr>
          <w:rFonts w:ascii="Arial" w:hAnsi="Arial" w:cs="Arial"/>
          <w:sz w:val="24"/>
          <w:szCs w:val="24"/>
          <w:lang w:val="en-US"/>
        </w:rPr>
        <w:t xml:space="preserve">Concern that some of the language used to describe evaluative events; tend to be housed in a negative connation; because of human nature people tend to lie and evade questions because of the belief the being in an evaluative process leads to anxiety; </w:t>
      </w:r>
    </w:p>
    <w:p w:rsidR="005B4BD6" w:rsidRPr="00C35433" w:rsidRDefault="002D1277" w:rsidP="00C35433">
      <w:pPr>
        <w:pStyle w:val="ListParagraph"/>
        <w:numPr>
          <w:ilvl w:val="0"/>
          <w:numId w:val="7"/>
        </w:numPr>
        <w:spacing w:after="0"/>
        <w:rPr>
          <w:rFonts w:ascii="Arial" w:hAnsi="Arial" w:cs="Arial"/>
          <w:color w:val="C00000"/>
          <w:sz w:val="24"/>
          <w:szCs w:val="24"/>
          <w:lang w:val="en-US"/>
        </w:rPr>
      </w:pPr>
      <w:r>
        <w:rPr>
          <w:rFonts w:ascii="Arial" w:hAnsi="Arial" w:cs="Arial"/>
          <w:sz w:val="24"/>
          <w:szCs w:val="24"/>
          <w:lang w:val="en-US"/>
        </w:rPr>
        <w:t xml:space="preserve">Because of these inherent concerns, the notion of evoking more positive images or metaphors to describe the notion of evaluation, e.g. – appreciative inquiry (AI). </w:t>
      </w:r>
    </w:p>
    <w:p w:rsidR="004543D0" w:rsidRPr="0053551B" w:rsidRDefault="004543D0" w:rsidP="004543D0">
      <w:pPr>
        <w:spacing w:after="0"/>
        <w:ind w:firstLine="360"/>
        <w:rPr>
          <w:rFonts w:ascii="Arial" w:hAnsi="Arial" w:cs="Arial"/>
          <w:sz w:val="24"/>
          <w:szCs w:val="24"/>
          <w:lang w:val="en-US"/>
        </w:rPr>
      </w:pPr>
      <w:r w:rsidRPr="0053551B">
        <w:rPr>
          <w:rFonts w:ascii="Arial" w:hAnsi="Arial" w:cs="Arial"/>
          <w:sz w:val="24"/>
          <w:szCs w:val="24"/>
          <w:lang w:val="en-US"/>
        </w:rPr>
        <w:t>As I was doing the readings for this assignment, I found that the notion of asking myself questions, and reflecting on what I was reading coming a little more naturally then it did a couple of weeks ago.  And interestingly,  I would find myself stopping and reflecting on wh</w:t>
      </w:r>
      <w:r w:rsidR="00277818">
        <w:rPr>
          <w:rFonts w:ascii="Arial" w:hAnsi="Arial" w:cs="Arial"/>
          <w:sz w:val="24"/>
          <w:szCs w:val="24"/>
          <w:lang w:val="en-US"/>
        </w:rPr>
        <w:t xml:space="preserve">at I read, make some notes, and then, as I </w:t>
      </w:r>
      <w:r w:rsidRPr="0053551B">
        <w:rPr>
          <w:rFonts w:ascii="Arial" w:hAnsi="Arial" w:cs="Arial"/>
          <w:sz w:val="24"/>
          <w:szCs w:val="24"/>
          <w:lang w:val="en-US"/>
        </w:rPr>
        <w:t>continue</w:t>
      </w:r>
      <w:r w:rsidR="00277818">
        <w:rPr>
          <w:rFonts w:ascii="Arial" w:hAnsi="Arial" w:cs="Arial"/>
          <w:sz w:val="24"/>
          <w:szCs w:val="24"/>
          <w:lang w:val="en-US"/>
        </w:rPr>
        <w:t>d</w:t>
      </w:r>
      <w:r w:rsidRPr="0053551B">
        <w:rPr>
          <w:rFonts w:ascii="Arial" w:hAnsi="Arial" w:cs="Arial"/>
          <w:sz w:val="24"/>
          <w:szCs w:val="24"/>
          <w:lang w:val="en-US"/>
        </w:rPr>
        <w:t xml:space="preserve">  on with </w:t>
      </w:r>
      <w:r w:rsidR="00277818">
        <w:rPr>
          <w:rFonts w:ascii="Arial" w:hAnsi="Arial" w:cs="Arial"/>
          <w:sz w:val="24"/>
          <w:szCs w:val="24"/>
          <w:lang w:val="en-US"/>
        </w:rPr>
        <w:t xml:space="preserve">the </w:t>
      </w:r>
      <w:r w:rsidRPr="0053551B">
        <w:rPr>
          <w:rFonts w:ascii="Arial" w:hAnsi="Arial" w:cs="Arial"/>
          <w:sz w:val="24"/>
          <w:szCs w:val="24"/>
          <w:lang w:val="en-US"/>
        </w:rPr>
        <w:t>reading,  I often would find confirm</w:t>
      </w:r>
      <w:r w:rsidR="00277818">
        <w:rPr>
          <w:rFonts w:ascii="Arial" w:hAnsi="Arial" w:cs="Arial"/>
          <w:sz w:val="24"/>
          <w:szCs w:val="24"/>
          <w:lang w:val="en-US"/>
        </w:rPr>
        <w:t>ation or discussion about some of the points that I had been contemplating.</w:t>
      </w:r>
      <w:r w:rsidRPr="0053551B">
        <w:rPr>
          <w:rFonts w:ascii="Arial" w:hAnsi="Arial" w:cs="Arial"/>
          <w:sz w:val="24"/>
          <w:szCs w:val="24"/>
          <w:lang w:val="en-US"/>
        </w:rPr>
        <w:t xml:space="preserve">  So yes Cyril, this process is proving to be very useful!</w:t>
      </w:r>
    </w:p>
    <w:p w:rsidR="004543D0" w:rsidRPr="0053551B" w:rsidRDefault="004543D0" w:rsidP="004543D0">
      <w:pPr>
        <w:spacing w:after="0"/>
        <w:ind w:firstLine="360"/>
        <w:rPr>
          <w:rFonts w:ascii="Arial" w:hAnsi="Arial" w:cs="Arial"/>
          <w:sz w:val="24"/>
          <w:szCs w:val="24"/>
          <w:lang w:val="en-US"/>
        </w:rPr>
      </w:pPr>
    </w:p>
    <w:p w:rsidR="005B4BD6" w:rsidRPr="0053551B" w:rsidRDefault="004543D0" w:rsidP="004543D0">
      <w:pPr>
        <w:spacing w:after="0"/>
        <w:ind w:firstLine="360"/>
        <w:rPr>
          <w:rFonts w:ascii="Arial" w:hAnsi="Arial" w:cs="Arial"/>
          <w:sz w:val="24"/>
          <w:szCs w:val="24"/>
          <w:lang w:val="en-US"/>
        </w:rPr>
      </w:pPr>
      <w:r w:rsidRPr="0053551B">
        <w:rPr>
          <w:rFonts w:ascii="Arial" w:hAnsi="Arial" w:cs="Arial"/>
          <w:sz w:val="24"/>
          <w:szCs w:val="24"/>
          <w:lang w:val="en-US"/>
        </w:rPr>
        <w:t xml:space="preserve">There was much valuable information to consider in the three chapters covered for this session...so bear with me as I jump around somewhat to reflect on my impressions of the text. </w:t>
      </w:r>
    </w:p>
    <w:p w:rsidR="005B4BD6" w:rsidRPr="0053551B" w:rsidRDefault="005B4BD6" w:rsidP="001B735B">
      <w:pPr>
        <w:spacing w:after="0"/>
        <w:rPr>
          <w:rFonts w:ascii="Arial" w:hAnsi="Arial" w:cs="Arial"/>
          <w:sz w:val="24"/>
          <w:szCs w:val="24"/>
          <w:lang w:val="en-US"/>
        </w:rPr>
      </w:pPr>
    </w:p>
    <w:p w:rsidR="00ED098B" w:rsidRPr="0053551B" w:rsidRDefault="004543D0" w:rsidP="004E4EFB">
      <w:pPr>
        <w:spacing w:after="0" w:line="240" w:lineRule="auto"/>
        <w:rPr>
          <w:rFonts w:ascii="Arial" w:hAnsi="Arial" w:cs="Arial"/>
          <w:sz w:val="24"/>
          <w:szCs w:val="24"/>
          <w:lang w:val="en-US"/>
        </w:rPr>
      </w:pPr>
      <w:r w:rsidRPr="0053551B">
        <w:rPr>
          <w:rFonts w:ascii="Arial" w:hAnsi="Arial" w:cs="Arial"/>
          <w:sz w:val="24"/>
          <w:szCs w:val="24"/>
          <w:lang w:val="en-US"/>
        </w:rPr>
        <w:t>In the section on expert</w:t>
      </w:r>
      <w:r w:rsidR="009D2742" w:rsidRPr="0053551B">
        <w:rPr>
          <w:rFonts w:ascii="Arial" w:hAnsi="Arial" w:cs="Arial"/>
          <w:sz w:val="24"/>
          <w:szCs w:val="24"/>
          <w:lang w:val="en-US"/>
        </w:rPr>
        <w:t>ise-oriented evaluation approach, I found</w:t>
      </w:r>
      <w:r w:rsidR="0075572E" w:rsidRPr="0053551B">
        <w:rPr>
          <w:rFonts w:ascii="Arial" w:hAnsi="Arial" w:cs="Arial"/>
          <w:sz w:val="24"/>
          <w:szCs w:val="24"/>
          <w:lang w:val="en-US"/>
        </w:rPr>
        <w:t xml:space="preserve"> the </w:t>
      </w:r>
      <w:r w:rsidR="00277818">
        <w:rPr>
          <w:rFonts w:ascii="Arial" w:hAnsi="Arial" w:cs="Arial"/>
          <w:sz w:val="24"/>
          <w:szCs w:val="24"/>
          <w:lang w:val="en-US"/>
        </w:rPr>
        <w:t xml:space="preserve">inclusion of </w:t>
      </w:r>
      <w:r w:rsidR="00277818" w:rsidRPr="0053551B">
        <w:rPr>
          <w:rFonts w:ascii="Arial" w:hAnsi="Arial" w:cs="Arial"/>
          <w:sz w:val="24"/>
          <w:szCs w:val="24"/>
          <w:lang w:val="en-US"/>
        </w:rPr>
        <w:t>the</w:t>
      </w:r>
      <w:r w:rsidR="0075572E" w:rsidRPr="0053551B">
        <w:rPr>
          <w:rFonts w:ascii="Arial" w:hAnsi="Arial" w:cs="Arial"/>
          <w:sz w:val="24"/>
          <w:szCs w:val="24"/>
          <w:lang w:val="en-US"/>
        </w:rPr>
        <w:t xml:space="preserve"> ‘critic’ </w:t>
      </w:r>
      <w:r w:rsidR="00277818">
        <w:rPr>
          <w:rFonts w:ascii="Arial" w:hAnsi="Arial" w:cs="Arial"/>
          <w:sz w:val="24"/>
          <w:szCs w:val="24"/>
          <w:lang w:val="en-US"/>
        </w:rPr>
        <w:t>as being</w:t>
      </w:r>
      <w:r w:rsidR="009D2742" w:rsidRPr="0053551B">
        <w:rPr>
          <w:rFonts w:ascii="Arial" w:hAnsi="Arial" w:cs="Arial"/>
          <w:sz w:val="24"/>
          <w:szCs w:val="24"/>
          <w:lang w:val="en-US"/>
        </w:rPr>
        <w:t xml:space="preserve"> </w:t>
      </w:r>
      <w:r w:rsidR="0075572E" w:rsidRPr="0053551B">
        <w:rPr>
          <w:rFonts w:ascii="Arial" w:hAnsi="Arial" w:cs="Arial"/>
          <w:sz w:val="24"/>
          <w:szCs w:val="24"/>
          <w:lang w:val="en-US"/>
        </w:rPr>
        <w:t>cast as a type of evaluator</w:t>
      </w:r>
      <w:r w:rsidR="009D2742" w:rsidRPr="0053551B">
        <w:rPr>
          <w:rFonts w:ascii="Arial" w:hAnsi="Arial" w:cs="Arial"/>
          <w:sz w:val="24"/>
          <w:szCs w:val="24"/>
          <w:lang w:val="en-US"/>
        </w:rPr>
        <w:t>/evaluation</w:t>
      </w:r>
      <w:r w:rsidR="00277818">
        <w:rPr>
          <w:rFonts w:ascii="Arial" w:hAnsi="Arial" w:cs="Arial"/>
          <w:sz w:val="24"/>
          <w:szCs w:val="24"/>
          <w:lang w:val="en-US"/>
        </w:rPr>
        <w:t xml:space="preserve"> a little surprising;</w:t>
      </w:r>
      <w:r w:rsidR="009D2742" w:rsidRPr="0053551B">
        <w:rPr>
          <w:rFonts w:ascii="Arial" w:hAnsi="Arial" w:cs="Arial"/>
          <w:sz w:val="24"/>
          <w:szCs w:val="24"/>
          <w:lang w:val="en-US"/>
        </w:rPr>
        <w:t xml:space="preserve"> but upon further consideration, I realize that indeed</w:t>
      </w:r>
      <w:r w:rsidR="00277818">
        <w:rPr>
          <w:rFonts w:ascii="Arial" w:hAnsi="Arial" w:cs="Arial"/>
          <w:sz w:val="24"/>
          <w:szCs w:val="24"/>
          <w:lang w:val="en-US"/>
        </w:rPr>
        <w:t xml:space="preserve"> </w:t>
      </w:r>
      <w:r w:rsidR="009D2742" w:rsidRPr="0053551B">
        <w:rPr>
          <w:rFonts w:ascii="Arial" w:hAnsi="Arial" w:cs="Arial"/>
          <w:sz w:val="24"/>
          <w:szCs w:val="24"/>
          <w:lang w:val="en-US"/>
        </w:rPr>
        <w:t xml:space="preserve">that is what the role of a professional </w:t>
      </w:r>
      <w:r w:rsidR="00277818">
        <w:rPr>
          <w:rFonts w:ascii="Arial" w:hAnsi="Arial" w:cs="Arial"/>
          <w:sz w:val="24"/>
          <w:szCs w:val="24"/>
          <w:lang w:val="en-US"/>
        </w:rPr>
        <w:t xml:space="preserve">critic is...an </w:t>
      </w:r>
      <w:r w:rsidR="009D2742" w:rsidRPr="0053551B">
        <w:rPr>
          <w:rFonts w:ascii="Arial" w:hAnsi="Arial" w:cs="Arial"/>
          <w:sz w:val="24"/>
          <w:szCs w:val="24"/>
          <w:lang w:val="en-US"/>
        </w:rPr>
        <w:t>evaluator</w:t>
      </w:r>
      <w:r w:rsidR="00277818">
        <w:rPr>
          <w:rFonts w:ascii="Arial" w:hAnsi="Arial" w:cs="Arial"/>
          <w:sz w:val="24"/>
          <w:szCs w:val="24"/>
          <w:lang w:val="en-US"/>
        </w:rPr>
        <w:t xml:space="preserve"> of sorts</w:t>
      </w:r>
      <w:r w:rsidR="009D2742" w:rsidRPr="0053551B">
        <w:rPr>
          <w:rFonts w:ascii="Arial" w:hAnsi="Arial" w:cs="Arial"/>
          <w:sz w:val="24"/>
          <w:szCs w:val="24"/>
          <w:lang w:val="en-US"/>
        </w:rPr>
        <w:t xml:space="preserve">.  However, some questions that immediately </w:t>
      </w:r>
      <w:r w:rsidR="00277818">
        <w:rPr>
          <w:rFonts w:ascii="Arial" w:hAnsi="Arial" w:cs="Arial"/>
          <w:sz w:val="24"/>
          <w:szCs w:val="24"/>
          <w:lang w:val="en-US"/>
        </w:rPr>
        <w:t>ca</w:t>
      </w:r>
      <w:r w:rsidR="009D2742" w:rsidRPr="0053551B">
        <w:rPr>
          <w:rFonts w:ascii="Arial" w:hAnsi="Arial" w:cs="Arial"/>
          <w:sz w:val="24"/>
          <w:szCs w:val="24"/>
          <w:lang w:val="en-US"/>
        </w:rPr>
        <w:t>me to mind</w:t>
      </w:r>
      <w:r w:rsidR="00277818">
        <w:rPr>
          <w:rFonts w:ascii="Arial" w:hAnsi="Arial" w:cs="Arial"/>
          <w:sz w:val="24"/>
          <w:szCs w:val="24"/>
          <w:lang w:val="en-US"/>
        </w:rPr>
        <w:t xml:space="preserve"> were</w:t>
      </w:r>
      <w:r w:rsidR="009D2742" w:rsidRPr="0053551B">
        <w:rPr>
          <w:rFonts w:ascii="Arial" w:hAnsi="Arial" w:cs="Arial"/>
          <w:sz w:val="24"/>
          <w:szCs w:val="24"/>
          <w:lang w:val="en-US"/>
        </w:rPr>
        <w:t xml:space="preserve">, </w:t>
      </w:r>
      <w:r w:rsidR="00277818">
        <w:rPr>
          <w:rFonts w:ascii="Arial" w:hAnsi="Arial" w:cs="Arial"/>
          <w:sz w:val="24"/>
          <w:szCs w:val="24"/>
          <w:lang w:val="en-US"/>
        </w:rPr>
        <w:t>“</w:t>
      </w:r>
      <w:r w:rsidR="009D2742" w:rsidRPr="0053551B">
        <w:rPr>
          <w:rFonts w:ascii="Arial" w:hAnsi="Arial" w:cs="Arial"/>
          <w:sz w:val="24"/>
          <w:szCs w:val="24"/>
          <w:lang w:val="en-US"/>
        </w:rPr>
        <w:t xml:space="preserve">how does the critic become anointed as an </w:t>
      </w:r>
      <w:r w:rsidR="00277818">
        <w:rPr>
          <w:rFonts w:ascii="Arial" w:hAnsi="Arial" w:cs="Arial"/>
          <w:sz w:val="24"/>
          <w:szCs w:val="24"/>
          <w:lang w:val="en-US"/>
        </w:rPr>
        <w:t>expert?”</w:t>
      </w:r>
      <w:r w:rsidR="009D2742" w:rsidRPr="0053551B">
        <w:rPr>
          <w:rFonts w:ascii="Arial" w:hAnsi="Arial" w:cs="Arial"/>
          <w:sz w:val="24"/>
          <w:szCs w:val="24"/>
          <w:lang w:val="en-US"/>
        </w:rPr>
        <w:t xml:space="preserve">  Am I an ‘expert’ movie critic if I regularly watch movies?</w:t>
      </w:r>
      <w:r w:rsidR="0075572E" w:rsidRPr="0053551B">
        <w:rPr>
          <w:rFonts w:ascii="Arial" w:hAnsi="Arial" w:cs="Arial"/>
          <w:sz w:val="24"/>
          <w:szCs w:val="24"/>
          <w:lang w:val="en-US"/>
        </w:rPr>
        <w:t xml:space="preserve">  </w:t>
      </w:r>
      <w:r w:rsidR="009D2742" w:rsidRPr="0053551B">
        <w:rPr>
          <w:rFonts w:ascii="Arial" w:hAnsi="Arial" w:cs="Arial"/>
          <w:sz w:val="24"/>
          <w:szCs w:val="24"/>
          <w:lang w:val="en-US"/>
        </w:rPr>
        <w:t xml:space="preserve">And </w:t>
      </w:r>
      <w:r w:rsidR="00277818">
        <w:rPr>
          <w:rFonts w:ascii="Arial" w:hAnsi="Arial" w:cs="Arial"/>
          <w:sz w:val="24"/>
          <w:szCs w:val="24"/>
          <w:lang w:val="en-US"/>
        </w:rPr>
        <w:t>“</w:t>
      </w:r>
      <w:r w:rsidR="009D2742" w:rsidRPr="0053551B">
        <w:rPr>
          <w:rFonts w:ascii="Arial" w:hAnsi="Arial" w:cs="Arial"/>
          <w:sz w:val="24"/>
          <w:szCs w:val="24"/>
          <w:lang w:val="en-US"/>
        </w:rPr>
        <w:t>how do we account for personal bias</w:t>
      </w:r>
      <w:r w:rsidR="00277818">
        <w:rPr>
          <w:rFonts w:ascii="Arial" w:hAnsi="Arial" w:cs="Arial"/>
          <w:sz w:val="24"/>
          <w:szCs w:val="24"/>
          <w:lang w:val="en-US"/>
        </w:rPr>
        <w:t xml:space="preserve">?”; it </w:t>
      </w:r>
      <w:r w:rsidR="009D2742" w:rsidRPr="0053551B">
        <w:rPr>
          <w:rFonts w:ascii="Arial" w:hAnsi="Arial" w:cs="Arial"/>
          <w:sz w:val="24"/>
          <w:szCs w:val="24"/>
          <w:lang w:val="en-US"/>
        </w:rPr>
        <w:t xml:space="preserve">seems to me, </w:t>
      </w:r>
      <w:r w:rsidR="00277818">
        <w:rPr>
          <w:rFonts w:ascii="Arial" w:hAnsi="Arial" w:cs="Arial"/>
          <w:sz w:val="24"/>
          <w:szCs w:val="24"/>
          <w:lang w:val="en-US"/>
        </w:rPr>
        <w:t xml:space="preserve">that it far more likely  to creep in, </w:t>
      </w:r>
      <w:r w:rsidR="009D2742" w:rsidRPr="0053551B">
        <w:rPr>
          <w:rFonts w:ascii="Arial" w:hAnsi="Arial" w:cs="Arial"/>
          <w:sz w:val="24"/>
          <w:szCs w:val="24"/>
          <w:lang w:val="en-US"/>
        </w:rPr>
        <w:t>given (or maybe not given) that a critic doesn’t use a structured, or reliable (using the research notion of reliability) form of evaluation.  Of course the argument is that the same could be said for other examples of evaluation that were co</w:t>
      </w:r>
      <w:r w:rsidR="00277818">
        <w:rPr>
          <w:rFonts w:ascii="Arial" w:hAnsi="Arial" w:cs="Arial"/>
          <w:sz w:val="24"/>
          <w:szCs w:val="24"/>
          <w:lang w:val="en-US"/>
        </w:rPr>
        <w:t>vered in the preceding chapters;</w:t>
      </w:r>
      <w:r w:rsidR="009D2742" w:rsidRPr="0053551B">
        <w:rPr>
          <w:rFonts w:ascii="Arial" w:hAnsi="Arial" w:cs="Arial"/>
          <w:sz w:val="24"/>
          <w:szCs w:val="24"/>
          <w:lang w:val="en-US"/>
        </w:rPr>
        <w:t xml:space="preserve"> but </w:t>
      </w:r>
      <w:r w:rsidR="00277818">
        <w:rPr>
          <w:rFonts w:ascii="Arial" w:hAnsi="Arial" w:cs="Arial"/>
          <w:sz w:val="24"/>
          <w:szCs w:val="24"/>
          <w:lang w:val="en-US"/>
        </w:rPr>
        <w:t>for</w:t>
      </w:r>
      <w:r w:rsidR="009D2742" w:rsidRPr="0053551B">
        <w:rPr>
          <w:rFonts w:ascii="Arial" w:hAnsi="Arial" w:cs="Arial"/>
          <w:sz w:val="24"/>
          <w:szCs w:val="24"/>
          <w:lang w:val="en-US"/>
        </w:rPr>
        <w:t xml:space="preserve"> me, the notion of a ‘critic’ as a ‘formal’ evaluator is bothersome; it just seems to subjective.  However, as </w:t>
      </w:r>
      <w:r w:rsidR="0075572E" w:rsidRPr="0053551B">
        <w:rPr>
          <w:rFonts w:ascii="Arial" w:hAnsi="Arial" w:cs="Arial"/>
          <w:sz w:val="24"/>
          <w:szCs w:val="24"/>
          <w:lang w:val="en-US"/>
        </w:rPr>
        <w:t>I consider the plausibility of the ‘</w:t>
      </w:r>
      <w:r w:rsidR="009D2742" w:rsidRPr="0053551B">
        <w:rPr>
          <w:rFonts w:ascii="Arial" w:hAnsi="Arial" w:cs="Arial"/>
          <w:sz w:val="24"/>
          <w:szCs w:val="24"/>
          <w:lang w:val="en-US"/>
        </w:rPr>
        <w:t>critic</w:t>
      </w:r>
      <w:r w:rsidR="0075572E" w:rsidRPr="0053551B">
        <w:rPr>
          <w:rFonts w:ascii="Arial" w:hAnsi="Arial" w:cs="Arial"/>
          <w:sz w:val="24"/>
          <w:szCs w:val="24"/>
          <w:lang w:val="en-US"/>
        </w:rPr>
        <w:t xml:space="preserve">’ as evaluator, I guess that is really what </w:t>
      </w:r>
      <w:r w:rsidR="00277818">
        <w:rPr>
          <w:rFonts w:ascii="Arial" w:hAnsi="Arial" w:cs="Arial"/>
          <w:sz w:val="24"/>
          <w:szCs w:val="24"/>
          <w:lang w:val="en-US"/>
        </w:rPr>
        <w:t>a critic does</w:t>
      </w:r>
      <w:r w:rsidR="009D2742" w:rsidRPr="0053551B">
        <w:rPr>
          <w:rFonts w:ascii="Arial" w:hAnsi="Arial" w:cs="Arial"/>
          <w:sz w:val="24"/>
          <w:szCs w:val="24"/>
          <w:lang w:val="en-US"/>
        </w:rPr>
        <w:t>...</w:t>
      </w:r>
      <w:r w:rsidR="0075572E" w:rsidRPr="0053551B">
        <w:rPr>
          <w:rFonts w:ascii="Arial" w:hAnsi="Arial" w:cs="Arial"/>
          <w:sz w:val="24"/>
          <w:szCs w:val="24"/>
          <w:lang w:val="en-US"/>
        </w:rPr>
        <w:t xml:space="preserve"> evaluating or as Eisner (as cited in Fitzpatrick, Sanders &amp; Worthen, 2004)</w:t>
      </w:r>
      <w:r w:rsidR="00277818">
        <w:rPr>
          <w:rFonts w:ascii="Arial" w:hAnsi="Arial" w:cs="Arial"/>
          <w:sz w:val="24"/>
          <w:szCs w:val="24"/>
          <w:lang w:val="en-US"/>
        </w:rPr>
        <w:t xml:space="preserve"> suggests</w:t>
      </w:r>
      <w:r w:rsidR="0075572E" w:rsidRPr="0053551B">
        <w:rPr>
          <w:rFonts w:ascii="Arial" w:hAnsi="Arial" w:cs="Arial"/>
          <w:sz w:val="24"/>
          <w:szCs w:val="24"/>
          <w:lang w:val="en-US"/>
        </w:rPr>
        <w:t xml:space="preserve">, “criticism is not a negative appraisal...but rather an educational process intended to enable individuals to </w:t>
      </w:r>
      <w:r w:rsidR="00ED098B" w:rsidRPr="0053551B">
        <w:rPr>
          <w:rFonts w:ascii="Arial" w:hAnsi="Arial" w:cs="Arial"/>
          <w:sz w:val="24"/>
          <w:szCs w:val="24"/>
          <w:lang w:val="en-US"/>
        </w:rPr>
        <w:t>recognize</w:t>
      </w:r>
      <w:r w:rsidR="0075572E" w:rsidRPr="0053551B">
        <w:rPr>
          <w:rFonts w:ascii="Arial" w:hAnsi="Arial" w:cs="Arial"/>
          <w:sz w:val="24"/>
          <w:szCs w:val="24"/>
          <w:lang w:val="en-US"/>
        </w:rPr>
        <w:t xml:space="preserve"> qualities and characteristics that might otherwise have been </w:t>
      </w:r>
      <w:r w:rsidR="00ED098B" w:rsidRPr="0053551B">
        <w:rPr>
          <w:rFonts w:ascii="Arial" w:hAnsi="Arial" w:cs="Arial"/>
          <w:sz w:val="24"/>
          <w:szCs w:val="24"/>
          <w:lang w:val="en-US"/>
        </w:rPr>
        <w:t>unnoticed</w:t>
      </w:r>
      <w:r w:rsidR="0075572E" w:rsidRPr="0053551B">
        <w:rPr>
          <w:rFonts w:ascii="Arial" w:hAnsi="Arial" w:cs="Arial"/>
          <w:sz w:val="24"/>
          <w:szCs w:val="24"/>
          <w:lang w:val="en-US"/>
        </w:rPr>
        <w:t xml:space="preserve"> and unappreciated</w:t>
      </w:r>
      <w:r w:rsidR="009D2742" w:rsidRPr="0053551B">
        <w:rPr>
          <w:rFonts w:ascii="Arial" w:hAnsi="Arial" w:cs="Arial"/>
          <w:sz w:val="24"/>
          <w:szCs w:val="24"/>
          <w:lang w:val="en-US"/>
        </w:rPr>
        <w:t>” (</w:t>
      </w:r>
      <w:r w:rsidR="0075572E" w:rsidRPr="0053551B">
        <w:rPr>
          <w:rFonts w:ascii="Arial" w:hAnsi="Arial" w:cs="Arial"/>
          <w:sz w:val="24"/>
          <w:szCs w:val="24"/>
          <w:lang w:val="en-US"/>
        </w:rPr>
        <w:t>p. 121).</w:t>
      </w:r>
      <w:r w:rsidR="009D2742" w:rsidRPr="0053551B">
        <w:rPr>
          <w:rFonts w:ascii="Arial" w:hAnsi="Arial" w:cs="Arial"/>
          <w:sz w:val="24"/>
          <w:szCs w:val="24"/>
          <w:lang w:val="en-US"/>
        </w:rPr>
        <w:t xml:space="preserve">  </w:t>
      </w:r>
      <w:r w:rsidR="00600658" w:rsidRPr="0053551B">
        <w:rPr>
          <w:rFonts w:ascii="Arial" w:hAnsi="Arial" w:cs="Arial"/>
          <w:sz w:val="24"/>
          <w:szCs w:val="24"/>
          <w:lang w:val="en-US"/>
        </w:rPr>
        <w:t>Definite</w:t>
      </w:r>
      <w:r w:rsidR="009D2742" w:rsidRPr="0053551B">
        <w:rPr>
          <w:rFonts w:ascii="Arial" w:hAnsi="Arial" w:cs="Arial"/>
          <w:sz w:val="24"/>
          <w:szCs w:val="24"/>
          <w:lang w:val="en-US"/>
        </w:rPr>
        <w:t xml:space="preserve"> food for thought.</w:t>
      </w:r>
      <w:r w:rsidR="00600658" w:rsidRPr="0053551B">
        <w:rPr>
          <w:rFonts w:ascii="Arial" w:hAnsi="Arial" w:cs="Arial"/>
          <w:sz w:val="24"/>
          <w:szCs w:val="24"/>
          <w:lang w:val="en-US"/>
        </w:rPr>
        <w:t xml:space="preserve">..!  </w:t>
      </w:r>
    </w:p>
    <w:p w:rsidR="004E4EFB" w:rsidRPr="0053551B" w:rsidRDefault="004E4EFB" w:rsidP="004E4EFB">
      <w:pPr>
        <w:spacing w:after="0" w:line="240" w:lineRule="auto"/>
        <w:rPr>
          <w:rFonts w:ascii="Arial" w:hAnsi="Arial" w:cs="Arial"/>
          <w:sz w:val="24"/>
          <w:szCs w:val="24"/>
          <w:lang w:val="en-US"/>
        </w:rPr>
      </w:pPr>
    </w:p>
    <w:p w:rsidR="00ED098B" w:rsidRPr="0053551B" w:rsidRDefault="00600658" w:rsidP="004E4EFB">
      <w:pPr>
        <w:spacing w:after="0" w:line="240" w:lineRule="auto"/>
        <w:rPr>
          <w:rFonts w:ascii="Arial" w:hAnsi="Arial" w:cs="Arial"/>
          <w:sz w:val="24"/>
          <w:szCs w:val="24"/>
          <w:lang w:val="en-US"/>
        </w:rPr>
      </w:pPr>
      <w:r w:rsidRPr="0053551B">
        <w:rPr>
          <w:rFonts w:ascii="Arial" w:hAnsi="Arial" w:cs="Arial"/>
          <w:sz w:val="24"/>
          <w:szCs w:val="24"/>
          <w:lang w:val="en-US"/>
        </w:rPr>
        <w:t xml:space="preserve">In reviewing the participant oriented approach I was intrigued with how this approach came to fruition; </w:t>
      </w:r>
      <w:r w:rsidR="00ED098B" w:rsidRPr="0053551B">
        <w:rPr>
          <w:rFonts w:ascii="Arial" w:hAnsi="Arial" w:cs="Arial"/>
          <w:sz w:val="24"/>
          <w:szCs w:val="24"/>
          <w:lang w:val="en-US"/>
        </w:rPr>
        <w:t xml:space="preserve">the fact </w:t>
      </w:r>
      <w:r w:rsidRPr="0053551B">
        <w:rPr>
          <w:rFonts w:ascii="Arial" w:hAnsi="Arial" w:cs="Arial"/>
          <w:sz w:val="24"/>
          <w:szCs w:val="24"/>
          <w:lang w:val="en-US"/>
        </w:rPr>
        <w:t xml:space="preserve">that </w:t>
      </w:r>
      <w:r w:rsidR="00ED098B" w:rsidRPr="0053551B">
        <w:rPr>
          <w:rFonts w:ascii="Arial" w:hAnsi="Arial" w:cs="Arial"/>
          <w:sz w:val="24"/>
          <w:szCs w:val="24"/>
          <w:lang w:val="en-US"/>
        </w:rPr>
        <w:t xml:space="preserve"> the 4 ways of evaluation that we </w:t>
      </w:r>
      <w:r w:rsidRPr="0053551B">
        <w:rPr>
          <w:rFonts w:ascii="Arial" w:hAnsi="Arial" w:cs="Arial"/>
          <w:sz w:val="24"/>
          <w:szCs w:val="24"/>
          <w:lang w:val="en-US"/>
        </w:rPr>
        <w:t>had reviewed thus far</w:t>
      </w:r>
      <w:r w:rsidR="00ED098B" w:rsidRPr="0053551B">
        <w:rPr>
          <w:rFonts w:ascii="Arial" w:hAnsi="Arial" w:cs="Arial"/>
          <w:sz w:val="24"/>
          <w:szCs w:val="24"/>
          <w:lang w:val="en-US"/>
        </w:rPr>
        <w:t xml:space="preserve"> </w:t>
      </w:r>
      <w:r w:rsidR="00277818">
        <w:rPr>
          <w:rFonts w:ascii="Arial" w:hAnsi="Arial" w:cs="Arial"/>
          <w:sz w:val="24"/>
          <w:szCs w:val="24"/>
          <w:lang w:val="en-US"/>
        </w:rPr>
        <w:t xml:space="preserve">do not </w:t>
      </w:r>
      <w:r w:rsidR="00ED098B" w:rsidRPr="0053551B">
        <w:rPr>
          <w:rFonts w:ascii="Arial" w:hAnsi="Arial" w:cs="Arial"/>
          <w:sz w:val="24"/>
          <w:szCs w:val="24"/>
          <w:lang w:val="en-US"/>
        </w:rPr>
        <w:t>focus</w:t>
      </w:r>
      <w:r w:rsidR="00277818">
        <w:rPr>
          <w:rFonts w:ascii="Arial" w:hAnsi="Arial" w:cs="Arial"/>
          <w:sz w:val="24"/>
          <w:szCs w:val="24"/>
          <w:lang w:val="en-US"/>
        </w:rPr>
        <w:t xml:space="preserve"> </w:t>
      </w:r>
      <w:r w:rsidR="00ED098B" w:rsidRPr="0053551B">
        <w:rPr>
          <w:rFonts w:ascii="Arial" w:hAnsi="Arial" w:cs="Arial"/>
          <w:sz w:val="24"/>
          <w:szCs w:val="24"/>
          <w:lang w:val="en-US"/>
        </w:rPr>
        <w:t xml:space="preserve">on servicing the needs for whom the program </w:t>
      </w:r>
      <w:r w:rsidR="00277818">
        <w:rPr>
          <w:rFonts w:ascii="Arial" w:hAnsi="Arial" w:cs="Arial"/>
          <w:sz w:val="24"/>
          <w:szCs w:val="24"/>
          <w:lang w:val="en-US"/>
        </w:rPr>
        <w:t xml:space="preserve">are </w:t>
      </w:r>
      <w:r w:rsidR="00ED098B" w:rsidRPr="0053551B">
        <w:rPr>
          <w:rFonts w:ascii="Arial" w:hAnsi="Arial" w:cs="Arial"/>
          <w:sz w:val="24"/>
          <w:szCs w:val="24"/>
          <w:lang w:val="en-US"/>
        </w:rPr>
        <w:t xml:space="preserve">developed for (Fitzpatrick, </w:t>
      </w:r>
      <w:r w:rsidR="00ED098B" w:rsidRPr="0053551B">
        <w:rPr>
          <w:rFonts w:ascii="Arial" w:hAnsi="Arial" w:cs="Arial"/>
          <w:i/>
          <w:sz w:val="24"/>
          <w:szCs w:val="24"/>
          <w:lang w:val="en-US"/>
        </w:rPr>
        <w:t xml:space="preserve">et al., </w:t>
      </w:r>
      <w:r w:rsidR="00ED098B" w:rsidRPr="0053551B">
        <w:rPr>
          <w:rFonts w:ascii="Arial" w:hAnsi="Arial" w:cs="Arial"/>
          <w:sz w:val="24"/>
          <w:szCs w:val="24"/>
          <w:lang w:val="en-US"/>
        </w:rPr>
        <w:t>2004)</w:t>
      </w:r>
      <w:r w:rsidR="00ED098B" w:rsidRPr="0053551B">
        <w:rPr>
          <w:rFonts w:ascii="Arial" w:hAnsi="Arial" w:cs="Arial"/>
          <w:i/>
          <w:sz w:val="24"/>
          <w:szCs w:val="24"/>
          <w:lang w:val="en-US"/>
        </w:rPr>
        <w:t>.</w:t>
      </w:r>
      <w:r w:rsidR="004E4EFB" w:rsidRPr="0053551B">
        <w:rPr>
          <w:rFonts w:ascii="Arial" w:hAnsi="Arial" w:cs="Arial"/>
          <w:i/>
          <w:sz w:val="24"/>
          <w:szCs w:val="24"/>
          <w:lang w:val="en-US"/>
        </w:rPr>
        <w:t xml:space="preserve">  </w:t>
      </w:r>
      <w:r w:rsidR="004E4EFB" w:rsidRPr="0053551B">
        <w:rPr>
          <w:rFonts w:ascii="Arial" w:hAnsi="Arial" w:cs="Arial"/>
          <w:sz w:val="24"/>
          <w:szCs w:val="24"/>
          <w:lang w:val="en-US"/>
        </w:rPr>
        <w:t xml:space="preserve">I think the argument could be made while the participant isn’t the central focus as described in this chapter, in reality, and quite likely depending on the evaluator, the participant is ultimately the central focus...at least in my naive and optimistic view!  </w:t>
      </w:r>
    </w:p>
    <w:p w:rsidR="004E4EFB" w:rsidRPr="0053551B" w:rsidRDefault="004E4EFB" w:rsidP="004E4EFB">
      <w:pPr>
        <w:spacing w:after="0" w:line="240" w:lineRule="auto"/>
        <w:rPr>
          <w:rFonts w:ascii="Arial" w:hAnsi="Arial" w:cs="Arial"/>
          <w:sz w:val="24"/>
          <w:szCs w:val="24"/>
          <w:lang w:val="en-US"/>
        </w:rPr>
      </w:pPr>
    </w:p>
    <w:p w:rsidR="00F647F1" w:rsidRDefault="004E4EFB" w:rsidP="00F21303">
      <w:pPr>
        <w:spacing w:after="0" w:line="240" w:lineRule="auto"/>
        <w:rPr>
          <w:rFonts w:ascii="Arial" w:hAnsi="Arial" w:cs="Arial"/>
          <w:sz w:val="24"/>
          <w:szCs w:val="24"/>
          <w:lang w:val="en-US"/>
        </w:rPr>
      </w:pPr>
      <w:r w:rsidRPr="0053551B">
        <w:rPr>
          <w:rFonts w:ascii="Arial" w:hAnsi="Arial" w:cs="Arial"/>
          <w:sz w:val="24"/>
          <w:szCs w:val="24"/>
          <w:lang w:val="en-US"/>
        </w:rPr>
        <w:t>So what about the participant –oriented approach? It was developed to be more responsive, and interactive.  Accordingly</w:t>
      </w:r>
      <w:r w:rsidR="00277818">
        <w:rPr>
          <w:rFonts w:ascii="Arial" w:hAnsi="Arial" w:cs="Arial"/>
          <w:sz w:val="24"/>
          <w:szCs w:val="24"/>
          <w:lang w:val="en-US"/>
        </w:rPr>
        <w:t>,</w:t>
      </w:r>
      <w:r w:rsidRPr="0053551B">
        <w:rPr>
          <w:rFonts w:ascii="Arial" w:hAnsi="Arial" w:cs="Arial"/>
          <w:sz w:val="24"/>
          <w:szCs w:val="24"/>
          <w:lang w:val="en-US"/>
        </w:rPr>
        <w:t xml:space="preserve"> the evaluator does not follow a preordained set of rules, but is open to ‘respond and react’ according to the situation at hand.  Furthermore, it is the participants that guide the process and outcomes, and ultimately it is up to the participants whether the evaluator writes a report or not!!  How is it possible to share information for program </w:t>
      </w:r>
      <w:r w:rsidR="00F36BD5">
        <w:rPr>
          <w:rFonts w:ascii="Arial" w:hAnsi="Arial" w:cs="Arial"/>
          <w:sz w:val="24"/>
          <w:szCs w:val="24"/>
          <w:lang w:val="en-US"/>
        </w:rPr>
        <w:t xml:space="preserve">improvement, </w:t>
      </w:r>
      <w:r w:rsidRPr="0053551B">
        <w:rPr>
          <w:rFonts w:ascii="Arial" w:hAnsi="Arial" w:cs="Arial"/>
          <w:sz w:val="24"/>
          <w:szCs w:val="24"/>
          <w:lang w:val="en-US"/>
        </w:rPr>
        <w:t>if there is no written documentation of that which is being evaluated!!</w:t>
      </w:r>
      <w:r w:rsidR="00B77733" w:rsidRPr="0053551B">
        <w:rPr>
          <w:rFonts w:ascii="Arial" w:hAnsi="Arial" w:cs="Arial"/>
          <w:sz w:val="24"/>
          <w:szCs w:val="24"/>
          <w:lang w:val="en-US"/>
        </w:rPr>
        <w:t xml:space="preserve">  To me, this approach seems to be very much qualitative in nature, likened to the </w:t>
      </w:r>
      <w:r w:rsidR="009570BA" w:rsidRPr="0053551B">
        <w:rPr>
          <w:rFonts w:ascii="Arial" w:hAnsi="Arial" w:cs="Arial"/>
          <w:sz w:val="24"/>
          <w:szCs w:val="24"/>
          <w:lang w:val="en-US"/>
        </w:rPr>
        <w:t>phenomenological methodology</w:t>
      </w:r>
      <w:r w:rsidR="00B77733" w:rsidRPr="0053551B">
        <w:rPr>
          <w:rFonts w:ascii="Arial" w:hAnsi="Arial" w:cs="Arial"/>
          <w:sz w:val="24"/>
          <w:szCs w:val="24"/>
          <w:lang w:val="en-US"/>
        </w:rPr>
        <w:t xml:space="preserve"> where by the goal is an</w:t>
      </w:r>
      <w:r w:rsidR="009570BA" w:rsidRPr="0053551B">
        <w:rPr>
          <w:rFonts w:ascii="Arial" w:hAnsi="Arial" w:cs="Arial"/>
          <w:sz w:val="24"/>
          <w:szCs w:val="24"/>
          <w:lang w:val="en-US"/>
        </w:rPr>
        <w:t xml:space="preserve"> understanding the true essence of the participants and their experience as it relates to the program. </w:t>
      </w:r>
      <w:r w:rsidR="00F36BD5">
        <w:rPr>
          <w:rFonts w:ascii="Arial" w:hAnsi="Arial" w:cs="Arial"/>
          <w:sz w:val="24"/>
          <w:szCs w:val="24"/>
          <w:lang w:val="en-US"/>
        </w:rPr>
        <w:t xml:space="preserve">  Not necessarily a bad thing, but not sure it should be the central focus of an evaluative process.</w:t>
      </w:r>
    </w:p>
    <w:p w:rsidR="00F21303" w:rsidRPr="0053551B" w:rsidRDefault="00F21303" w:rsidP="00F21303">
      <w:pPr>
        <w:spacing w:after="0" w:line="240" w:lineRule="auto"/>
        <w:rPr>
          <w:rFonts w:ascii="Arial" w:hAnsi="Arial" w:cs="Arial"/>
          <w:sz w:val="24"/>
          <w:szCs w:val="24"/>
          <w:lang w:val="en-US"/>
        </w:rPr>
      </w:pPr>
    </w:p>
    <w:p w:rsidR="00F647F1" w:rsidRPr="0053551B" w:rsidRDefault="00B77733" w:rsidP="00B77733">
      <w:pPr>
        <w:spacing w:after="0" w:line="240" w:lineRule="auto"/>
        <w:rPr>
          <w:rFonts w:ascii="Arial" w:hAnsi="Arial" w:cs="Arial"/>
          <w:sz w:val="24"/>
          <w:szCs w:val="24"/>
          <w:lang w:val="en-US"/>
        </w:rPr>
      </w:pPr>
      <w:r w:rsidRPr="0053551B">
        <w:rPr>
          <w:rFonts w:ascii="Arial" w:hAnsi="Arial" w:cs="Arial"/>
          <w:sz w:val="24"/>
          <w:szCs w:val="24"/>
          <w:lang w:val="en-US"/>
        </w:rPr>
        <w:t xml:space="preserve">In terms of the participant-oriented approach, I don’t see it as a complete write off...there is definite value in considering some of its merits.  I </w:t>
      </w:r>
      <w:r w:rsidR="00F647F1" w:rsidRPr="0053551B">
        <w:rPr>
          <w:rFonts w:ascii="Arial" w:hAnsi="Arial" w:cs="Arial"/>
          <w:sz w:val="24"/>
          <w:szCs w:val="24"/>
          <w:lang w:val="en-US"/>
        </w:rPr>
        <w:t xml:space="preserve"> found Stark’s clock to be of use</w:t>
      </w:r>
      <w:r w:rsidRPr="0053551B">
        <w:rPr>
          <w:rFonts w:ascii="Arial" w:hAnsi="Arial" w:cs="Arial"/>
          <w:sz w:val="24"/>
          <w:szCs w:val="24"/>
          <w:lang w:val="en-US"/>
        </w:rPr>
        <w:t xml:space="preserve">, since for  me, it provides a </w:t>
      </w:r>
      <w:r w:rsidR="00F647F1" w:rsidRPr="0053551B">
        <w:rPr>
          <w:rFonts w:ascii="Arial" w:hAnsi="Arial" w:cs="Arial"/>
          <w:sz w:val="24"/>
          <w:szCs w:val="24"/>
          <w:lang w:val="en-US"/>
        </w:rPr>
        <w:t>starting point in whi</w:t>
      </w:r>
      <w:r w:rsidRPr="0053551B">
        <w:rPr>
          <w:rFonts w:ascii="Arial" w:hAnsi="Arial" w:cs="Arial"/>
          <w:sz w:val="24"/>
          <w:szCs w:val="24"/>
          <w:lang w:val="en-US"/>
        </w:rPr>
        <w:t>ch to frame what it is that needs to be done and what questions need to be asked.</w:t>
      </w:r>
      <w:r w:rsidR="00F647F1" w:rsidRPr="0053551B">
        <w:rPr>
          <w:rFonts w:ascii="Arial" w:hAnsi="Arial" w:cs="Arial"/>
          <w:sz w:val="24"/>
          <w:szCs w:val="24"/>
          <w:lang w:val="en-US"/>
        </w:rPr>
        <w:t xml:space="preserve"> </w:t>
      </w:r>
      <w:r w:rsidRPr="0053551B">
        <w:rPr>
          <w:rFonts w:ascii="Arial" w:hAnsi="Arial" w:cs="Arial"/>
          <w:sz w:val="24"/>
          <w:szCs w:val="24"/>
          <w:lang w:val="en-US"/>
        </w:rPr>
        <w:t xml:space="preserve">For me, I see the </w:t>
      </w:r>
      <w:r w:rsidR="00F647F1" w:rsidRPr="0053551B">
        <w:rPr>
          <w:rFonts w:ascii="Arial" w:hAnsi="Arial" w:cs="Arial"/>
          <w:sz w:val="24"/>
          <w:szCs w:val="24"/>
          <w:lang w:val="en-US"/>
        </w:rPr>
        <w:t xml:space="preserve">responsive </w:t>
      </w:r>
      <w:r w:rsidRPr="0053551B">
        <w:rPr>
          <w:rFonts w:ascii="Arial" w:hAnsi="Arial" w:cs="Arial"/>
          <w:sz w:val="24"/>
          <w:szCs w:val="24"/>
          <w:lang w:val="en-US"/>
        </w:rPr>
        <w:t xml:space="preserve">approach as being used to enhance other approaches to evaluation, which leaves me to ponder how I </w:t>
      </w:r>
      <w:r w:rsidR="00F647F1" w:rsidRPr="0053551B">
        <w:rPr>
          <w:rFonts w:ascii="Arial" w:hAnsi="Arial" w:cs="Arial"/>
          <w:sz w:val="24"/>
          <w:szCs w:val="24"/>
          <w:lang w:val="en-US"/>
        </w:rPr>
        <w:t xml:space="preserve"> </w:t>
      </w:r>
      <w:r w:rsidRPr="0053551B">
        <w:rPr>
          <w:rFonts w:ascii="Arial" w:hAnsi="Arial" w:cs="Arial"/>
          <w:sz w:val="24"/>
          <w:szCs w:val="24"/>
          <w:lang w:val="en-US"/>
        </w:rPr>
        <w:t>can</w:t>
      </w:r>
      <w:r w:rsidR="00F647F1" w:rsidRPr="0053551B">
        <w:rPr>
          <w:rFonts w:ascii="Arial" w:hAnsi="Arial" w:cs="Arial"/>
          <w:sz w:val="24"/>
          <w:szCs w:val="24"/>
          <w:lang w:val="en-US"/>
        </w:rPr>
        <w:t xml:space="preserve"> tie this responsive evaluation</w:t>
      </w:r>
      <w:r w:rsidRPr="0053551B">
        <w:rPr>
          <w:rFonts w:ascii="Arial" w:hAnsi="Arial" w:cs="Arial"/>
          <w:sz w:val="24"/>
          <w:szCs w:val="24"/>
          <w:lang w:val="en-US"/>
        </w:rPr>
        <w:t xml:space="preserve"> process </w:t>
      </w:r>
      <w:r w:rsidR="00F647F1" w:rsidRPr="0053551B">
        <w:rPr>
          <w:rFonts w:ascii="Arial" w:hAnsi="Arial" w:cs="Arial"/>
          <w:sz w:val="24"/>
          <w:szCs w:val="24"/>
          <w:lang w:val="en-US"/>
        </w:rPr>
        <w:t xml:space="preserve"> into the use of </w:t>
      </w:r>
      <w:r w:rsidRPr="0053551B">
        <w:rPr>
          <w:rFonts w:ascii="Arial" w:hAnsi="Arial" w:cs="Arial"/>
          <w:sz w:val="24"/>
          <w:szCs w:val="24"/>
          <w:lang w:val="en-US"/>
        </w:rPr>
        <w:t xml:space="preserve">, say, </w:t>
      </w:r>
      <w:r w:rsidR="00F647F1" w:rsidRPr="0053551B">
        <w:rPr>
          <w:rFonts w:ascii="Arial" w:hAnsi="Arial" w:cs="Arial"/>
          <w:sz w:val="24"/>
          <w:szCs w:val="24"/>
          <w:lang w:val="en-US"/>
        </w:rPr>
        <w:t>a management oriented approach</w:t>
      </w:r>
      <w:r w:rsidRPr="0053551B">
        <w:rPr>
          <w:rFonts w:ascii="Arial" w:hAnsi="Arial" w:cs="Arial"/>
          <w:sz w:val="24"/>
          <w:szCs w:val="24"/>
          <w:lang w:val="en-US"/>
        </w:rPr>
        <w:t xml:space="preserve">; </w:t>
      </w:r>
      <w:r w:rsidR="00F647F1" w:rsidRPr="0053551B">
        <w:rPr>
          <w:rFonts w:ascii="Arial" w:hAnsi="Arial" w:cs="Arial"/>
          <w:sz w:val="24"/>
          <w:szCs w:val="24"/>
          <w:lang w:val="en-US"/>
        </w:rPr>
        <w:t>can I use it to inform how I engage my stakeholders?</w:t>
      </w:r>
    </w:p>
    <w:p w:rsidR="00353848" w:rsidRPr="0053551B" w:rsidRDefault="00353848" w:rsidP="00B77733">
      <w:pPr>
        <w:spacing w:after="0" w:line="240" w:lineRule="auto"/>
        <w:rPr>
          <w:rFonts w:ascii="Arial" w:hAnsi="Arial" w:cs="Arial"/>
          <w:sz w:val="24"/>
          <w:szCs w:val="24"/>
          <w:lang w:val="en-US"/>
        </w:rPr>
      </w:pPr>
    </w:p>
    <w:p w:rsidR="00D45451" w:rsidRPr="0053551B" w:rsidRDefault="00353848" w:rsidP="00B77733">
      <w:pPr>
        <w:spacing w:after="0" w:line="240" w:lineRule="auto"/>
        <w:rPr>
          <w:rFonts w:ascii="Arial" w:hAnsi="Arial" w:cs="Arial"/>
          <w:sz w:val="24"/>
          <w:szCs w:val="24"/>
          <w:lang w:val="en-US"/>
        </w:rPr>
      </w:pPr>
      <w:r w:rsidRPr="0053551B">
        <w:rPr>
          <w:rFonts w:ascii="Arial" w:hAnsi="Arial" w:cs="Arial"/>
          <w:sz w:val="24"/>
          <w:szCs w:val="24"/>
          <w:lang w:val="en-US"/>
        </w:rPr>
        <w:t>I find myself at a bit of a crossroads</w:t>
      </w:r>
      <w:r w:rsidR="00B77733" w:rsidRPr="0053551B">
        <w:rPr>
          <w:rFonts w:ascii="Arial" w:hAnsi="Arial" w:cs="Arial"/>
          <w:sz w:val="24"/>
          <w:szCs w:val="24"/>
          <w:lang w:val="en-US"/>
        </w:rPr>
        <w:t xml:space="preserve"> in considering the role of evaluator as an advocate.</w:t>
      </w:r>
      <w:r w:rsidRPr="0053551B">
        <w:rPr>
          <w:rFonts w:ascii="Arial" w:hAnsi="Arial" w:cs="Arial"/>
          <w:sz w:val="24"/>
          <w:szCs w:val="24"/>
          <w:lang w:val="en-US"/>
        </w:rPr>
        <w:t xml:space="preserve"> I like the notion of empowering the disenfranchised but how can I align that with </w:t>
      </w:r>
      <w:r w:rsidR="00B77733" w:rsidRPr="0053551B">
        <w:rPr>
          <w:rFonts w:ascii="Arial" w:hAnsi="Arial" w:cs="Arial"/>
          <w:sz w:val="24"/>
          <w:szCs w:val="24"/>
          <w:lang w:val="en-US"/>
        </w:rPr>
        <w:t>the gaining information needed to make informed decisions</w:t>
      </w:r>
      <w:r w:rsidRPr="0053551B">
        <w:rPr>
          <w:rFonts w:ascii="Arial" w:hAnsi="Arial" w:cs="Arial"/>
          <w:sz w:val="24"/>
          <w:szCs w:val="24"/>
          <w:lang w:val="en-US"/>
        </w:rPr>
        <w:t>.  I do want to hear the</w:t>
      </w:r>
      <w:r w:rsidR="00B77733" w:rsidRPr="0053551B">
        <w:rPr>
          <w:rFonts w:ascii="Arial" w:hAnsi="Arial" w:cs="Arial"/>
          <w:sz w:val="24"/>
          <w:szCs w:val="24"/>
          <w:lang w:val="en-US"/>
        </w:rPr>
        <w:t xml:space="preserve"> stories from those in programs as a means to </w:t>
      </w:r>
      <w:r w:rsidRPr="0053551B">
        <w:rPr>
          <w:rFonts w:ascii="Arial" w:hAnsi="Arial" w:cs="Arial"/>
          <w:sz w:val="24"/>
          <w:szCs w:val="24"/>
          <w:lang w:val="en-US"/>
        </w:rPr>
        <w:t xml:space="preserve">inform and </w:t>
      </w:r>
      <w:r w:rsidR="00B77733" w:rsidRPr="0053551B">
        <w:rPr>
          <w:rFonts w:ascii="Arial" w:hAnsi="Arial" w:cs="Arial"/>
          <w:sz w:val="24"/>
          <w:szCs w:val="24"/>
          <w:lang w:val="en-US"/>
        </w:rPr>
        <w:t>improve</w:t>
      </w:r>
      <w:r w:rsidRPr="0053551B">
        <w:rPr>
          <w:rFonts w:ascii="Arial" w:hAnsi="Arial" w:cs="Arial"/>
          <w:sz w:val="24"/>
          <w:szCs w:val="24"/>
          <w:lang w:val="en-US"/>
        </w:rPr>
        <w:t xml:space="preserve">, but </w:t>
      </w:r>
      <w:r w:rsidR="00D45451" w:rsidRPr="0053551B">
        <w:rPr>
          <w:rFonts w:ascii="Arial" w:hAnsi="Arial" w:cs="Arial"/>
          <w:sz w:val="24"/>
          <w:szCs w:val="24"/>
          <w:lang w:val="en-US"/>
        </w:rPr>
        <w:t>it terms of accountability how d</w:t>
      </w:r>
      <w:r w:rsidRPr="0053551B">
        <w:rPr>
          <w:rFonts w:ascii="Arial" w:hAnsi="Arial" w:cs="Arial"/>
          <w:sz w:val="24"/>
          <w:szCs w:val="24"/>
          <w:lang w:val="en-US"/>
        </w:rPr>
        <w:t xml:space="preserve">o I meld this in with a more traditional approach.  </w:t>
      </w:r>
      <w:r w:rsidR="00D45451" w:rsidRPr="0053551B">
        <w:rPr>
          <w:rFonts w:ascii="Arial" w:hAnsi="Arial" w:cs="Arial"/>
          <w:sz w:val="24"/>
          <w:szCs w:val="24"/>
          <w:lang w:val="en-US"/>
        </w:rPr>
        <w:t>And given the time it would take to do this approach justice</w:t>
      </w:r>
      <w:r w:rsidR="00F21303">
        <w:rPr>
          <w:rFonts w:ascii="Arial" w:hAnsi="Arial" w:cs="Arial"/>
          <w:sz w:val="24"/>
          <w:szCs w:val="24"/>
          <w:lang w:val="en-US"/>
        </w:rPr>
        <w:t xml:space="preserve"> it</w:t>
      </w:r>
      <w:r w:rsidR="00D45451" w:rsidRPr="0053551B">
        <w:rPr>
          <w:rFonts w:ascii="Arial" w:hAnsi="Arial" w:cs="Arial"/>
          <w:sz w:val="24"/>
          <w:szCs w:val="24"/>
          <w:lang w:val="en-US"/>
        </w:rPr>
        <w:t xml:space="preserve"> is likely far too costly in terms of human resource requirements and budgets.  One point I found of interest in the participant-orientation approach</w:t>
      </w:r>
      <w:r w:rsidR="00F21303">
        <w:rPr>
          <w:rFonts w:ascii="Arial" w:hAnsi="Arial" w:cs="Arial"/>
          <w:sz w:val="24"/>
          <w:szCs w:val="24"/>
          <w:lang w:val="en-US"/>
        </w:rPr>
        <w:t xml:space="preserve"> is</w:t>
      </w:r>
      <w:r w:rsidR="00D45451" w:rsidRPr="0053551B">
        <w:rPr>
          <w:rFonts w:ascii="Arial" w:hAnsi="Arial" w:cs="Arial"/>
          <w:sz w:val="24"/>
          <w:szCs w:val="24"/>
          <w:lang w:val="en-US"/>
        </w:rPr>
        <w:t xml:space="preserve"> that one of the methods involved the inclusion of a staff member that is very much attached to the program as an i</w:t>
      </w:r>
      <w:r w:rsidR="00F21303">
        <w:rPr>
          <w:rFonts w:ascii="Arial" w:hAnsi="Arial" w:cs="Arial"/>
          <w:sz w:val="24"/>
          <w:szCs w:val="24"/>
          <w:lang w:val="en-US"/>
        </w:rPr>
        <w:t>nformant</w:t>
      </w:r>
      <w:r w:rsidR="00D45451" w:rsidRPr="0053551B">
        <w:rPr>
          <w:rFonts w:ascii="Arial" w:hAnsi="Arial" w:cs="Arial"/>
          <w:sz w:val="24"/>
          <w:szCs w:val="24"/>
          <w:lang w:val="en-US"/>
        </w:rPr>
        <w:t>.  And in fact, I would say that we do have that in place, and I rely heavily on my coordinator’s input on program direction.  However, that is very much based on the fact that I trust their input.</w:t>
      </w:r>
    </w:p>
    <w:p w:rsidR="00B2251F" w:rsidRPr="0053551B" w:rsidRDefault="00D45451" w:rsidP="00B77733">
      <w:pPr>
        <w:spacing w:after="0" w:line="240" w:lineRule="auto"/>
        <w:rPr>
          <w:rFonts w:ascii="Arial" w:hAnsi="Arial" w:cs="Arial"/>
          <w:sz w:val="24"/>
          <w:szCs w:val="24"/>
          <w:lang w:val="en-US"/>
        </w:rPr>
      </w:pPr>
      <w:r w:rsidRPr="0053551B">
        <w:rPr>
          <w:rFonts w:ascii="Arial" w:hAnsi="Arial" w:cs="Arial"/>
          <w:sz w:val="24"/>
          <w:szCs w:val="24"/>
          <w:lang w:val="en-US"/>
        </w:rPr>
        <w:t xml:space="preserve"> </w:t>
      </w:r>
    </w:p>
    <w:p w:rsidR="005B4BD6" w:rsidRPr="0053551B" w:rsidRDefault="005B4BD6" w:rsidP="00B77733">
      <w:pPr>
        <w:spacing w:after="0" w:line="240" w:lineRule="auto"/>
        <w:rPr>
          <w:rFonts w:ascii="Arial" w:hAnsi="Arial" w:cs="Arial"/>
          <w:sz w:val="24"/>
          <w:szCs w:val="24"/>
          <w:lang w:val="en-US"/>
        </w:rPr>
      </w:pPr>
      <w:r w:rsidRPr="0053551B">
        <w:rPr>
          <w:rFonts w:ascii="Arial" w:hAnsi="Arial" w:cs="Arial"/>
          <w:sz w:val="24"/>
          <w:szCs w:val="24"/>
          <w:lang w:val="en-US"/>
        </w:rPr>
        <w:t xml:space="preserve">One of the most important things that came out of chapter 9 was the caution to not be a ‘disciple’ to one particular approach to evaluation.  I think it is incumbent on us to ensure that what </w:t>
      </w:r>
      <w:r w:rsidR="00D45451" w:rsidRPr="0053551B">
        <w:rPr>
          <w:rFonts w:ascii="Arial" w:hAnsi="Arial" w:cs="Arial"/>
          <w:sz w:val="24"/>
          <w:szCs w:val="24"/>
          <w:lang w:val="en-US"/>
        </w:rPr>
        <w:t xml:space="preserve">is </w:t>
      </w:r>
      <w:r w:rsidRPr="0053551B">
        <w:rPr>
          <w:rFonts w:ascii="Arial" w:hAnsi="Arial" w:cs="Arial"/>
          <w:sz w:val="24"/>
          <w:szCs w:val="24"/>
          <w:lang w:val="en-US"/>
        </w:rPr>
        <w:t xml:space="preserve">being </w:t>
      </w:r>
      <w:r w:rsidR="00D45451" w:rsidRPr="0053551B">
        <w:rPr>
          <w:rFonts w:ascii="Arial" w:hAnsi="Arial" w:cs="Arial"/>
          <w:sz w:val="24"/>
          <w:szCs w:val="24"/>
          <w:lang w:val="en-US"/>
        </w:rPr>
        <w:t>evaluated</w:t>
      </w:r>
      <w:r w:rsidRPr="0053551B">
        <w:rPr>
          <w:rFonts w:ascii="Arial" w:hAnsi="Arial" w:cs="Arial"/>
          <w:sz w:val="24"/>
          <w:szCs w:val="24"/>
          <w:lang w:val="en-US"/>
        </w:rPr>
        <w:t xml:space="preserve"> guides our decision on choice.  </w:t>
      </w:r>
      <w:r w:rsidR="00D45451" w:rsidRPr="0053551B">
        <w:rPr>
          <w:rFonts w:ascii="Arial" w:hAnsi="Arial" w:cs="Arial"/>
          <w:sz w:val="24"/>
          <w:szCs w:val="24"/>
          <w:lang w:val="en-US"/>
        </w:rPr>
        <w:t>F</w:t>
      </w:r>
      <w:r w:rsidRPr="0053551B">
        <w:rPr>
          <w:rFonts w:ascii="Arial" w:hAnsi="Arial" w:cs="Arial"/>
          <w:sz w:val="24"/>
          <w:szCs w:val="24"/>
          <w:lang w:val="en-US"/>
        </w:rPr>
        <w:t>urthermore, it seems to make sense that as evaluators we can take components of each of the different models in order to fit the need of decision-makers, stakeholders, and participan</w:t>
      </w:r>
      <w:r w:rsidR="00D45451" w:rsidRPr="0053551B">
        <w:rPr>
          <w:rFonts w:ascii="Arial" w:hAnsi="Arial" w:cs="Arial"/>
          <w:sz w:val="24"/>
          <w:szCs w:val="24"/>
          <w:lang w:val="en-US"/>
        </w:rPr>
        <w:t>t</w:t>
      </w:r>
      <w:r w:rsidRPr="0053551B">
        <w:rPr>
          <w:rFonts w:ascii="Arial" w:hAnsi="Arial" w:cs="Arial"/>
          <w:sz w:val="24"/>
          <w:szCs w:val="24"/>
          <w:lang w:val="en-US"/>
        </w:rPr>
        <w:t xml:space="preserve">.  Of </w:t>
      </w:r>
      <w:r w:rsidR="00D45451" w:rsidRPr="0053551B">
        <w:rPr>
          <w:rFonts w:ascii="Arial" w:hAnsi="Arial" w:cs="Arial"/>
          <w:sz w:val="24"/>
          <w:szCs w:val="24"/>
          <w:lang w:val="en-US"/>
        </w:rPr>
        <w:t>further</w:t>
      </w:r>
      <w:r w:rsidRPr="0053551B">
        <w:rPr>
          <w:rFonts w:ascii="Arial" w:hAnsi="Arial" w:cs="Arial"/>
          <w:sz w:val="24"/>
          <w:szCs w:val="24"/>
          <w:lang w:val="en-US"/>
        </w:rPr>
        <w:t xml:space="preserve"> interest is the authors rhetorical question asking “how will one know which approach is best for a given situation” (Fitzpatrick, </w:t>
      </w:r>
      <w:r w:rsidRPr="0053551B">
        <w:rPr>
          <w:rFonts w:ascii="Arial" w:hAnsi="Arial" w:cs="Arial"/>
          <w:i/>
          <w:sz w:val="24"/>
          <w:szCs w:val="24"/>
          <w:lang w:val="en-US"/>
        </w:rPr>
        <w:t xml:space="preserve">et al., </w:t>
      </w:r>
      <w:r w:rsidRPr="0053551B">
        <w:rPr>
          <w:rFonts w:ascii="Arial" w:hAnsi="Arial" w:cs="Arial"/>
          <w:sz w:val="24"/>
          <w:szCs w:val="24"/>
          <w:lang w:val="en-US"/>
        </w:rPr>
        <w:t>2004, p. 156).  Indeed the question of the hour for the novice evaluator.  However, the authors suggest that at this time there is no research to help guide in our decision making</w:t>
      </w:r>
      <w:r w:rsidR="00D45451" w:rsidRPr="0053551B">
        <w:rPr>
          <w:rFonts w:ascii="Arial" w:hAnsi="Arial" w:cs="Arial"/>
          <w:sz w:val="24"/>
          <w:szCs w:val="24"/>
          <w:lang w:val="en-US"/>
        </w:rPr>
        <w:t xml:space="preserve"> for choice</w:t>
      </w:r>
      <w:r w:rsidRPr="0053551B">
        <w:rPr>
          <w:rFonts w:ascii="Arial" w:hAnsi="Arial" w:cs="Arial"/>
          <w:sz w:val="24"/>
          <w:szCs w:val="24"/>
          <w:lang w:val="en-US"/>
        </w:rPr>
        <w:t xml:space="preserve">...and if I </w:t>
      </w:r>
      <w:r w:rsidR="00CB333F" w:rsidRPr="0053551B">
        <w:rPr>
          <w:rFonts w:ascii="Arial" w:hAnsi="Arial" w:cs="Arial"/>
          <w:sz w:val="24"/>
          <w:szCs w:val="24"/>
          <w:lang w:val="en-US"/>
        </w:rPr>
        <w:t xml:space="preserve">can comment out loud, even if there was research, we would likely be no closer to ascertaining what model would fit best in a given situation.  Given the plethora of philosophical leanings of those engaged in developing different approaches to evaluation, there is apt to ever be any agreement on best choices. Indeed, </w:t>
      </w:r>
      <w:r w:rsidR="00D45451" w:rsidRPr="0053551B">
        <w:rPr>
          <w:rFonts w:ascii="Arial" w:hAnsi="Arial" w:cs="Arial"/>
          <w:sz w:val="24"/>
          <w:szCs w:val="24"/>
          <w:lang w:val="en-US"/>
        </w:rPr>
        <w:t>isn’t that</w:t>
      </w:r>
      <w:r w:rsidR="00CB333F" w:rsidRPr="0053551B">
        <w:rPr>
          <w:rFonts w:ascii="Arial" w:hAnsi="Arial" w:cs="Arial"/>
          <w:sz w:val="24"/>
          <w:szCs w:val="24"/>
          <w:lang w:val="en-US"/>
        </w:rPr>
        <w:t xml:space="preserve"> the idea of having different approaches, and different thoughts on what works best</w:t>
      </w:r>
      <w:r w:rsidR="006D0AA8" w:rsidRPr="0053551B">
        <w:rPr>
          <w:rFonts w:ascii="Arial" w:hAnsi="Arial" w:cs="Arial"/>
          <w:sz w:val="24"/>
          <w:szCs w:val="24"/>
          <w:lang w:val="en-US"/>
        </w:rPr>
        <w:t xml:space="preserve">.  </w:t>
      </w:r>
      <w:r w:rsidR="00D45451" w:rsidRPr="0053551B">
        <w:rPr>
          <w:rFonts w:ascii="Arial" w:hAnsi="Arial" w:cs="Arial"/>
          <w:sz w:val="24"/>
          <w:szCs w:val="24"/>
          <w:lang w:val="en-US"/>
        </w:rPr>
        <w:t xml:space="preserve">Thus, </w:t>
      </w:r>
      <w:r w:rsidR="006D0AA8" w:rsidRPr="0053551B">
        <w:rPr>
          <w:rFonts w:ascii="Arial" w:hAnsi="Arial" w:cs="Arial"/>
          <w:sz w:val="24"/>
          <w:szCs w:val="24"/>
          <w:lang w:val="en-US"/>
        </w:rPr>
        <w:t xml:space="preserve">I felt reassured when Worthen (as cited in Fitzpatrick, </w:t>
      </w:r>
      <w:r w:rsidR="006D0AA8" w:rsidRPr="0053551B">
        <w:rPr>
          <w:rFonts w:ascii="Arial" w:hAnsi="Arial" w:cs="Arial"/>
          <w:i/>
          <w:sz w:val="24"/>
          <w:szCs w:val="24"/>
          <w:lang w:val="en-US"/>
        </w:rPr>
        <w:t xml:space="preserve">et al., </w:t>
      </w:r>
      <w:r w:rsidR="006D0AA8" w:rsidRPr="0053551B">
        <w:rPr>
          <w:rFonts w:ascii="Arial" w:hAnsi="Arial" w:cs="Arial"/>
          <w:sz w:val="24"/>
          <w:szCs w:val="24"/>
          <w:lang w:val="en-US"/>
        </w:rPr>
        <w:t>2004), upon reflection, acknowledge</w:t>
      </w:r>
      <w:r w:rsidR="00F21303">
        <w:rPr>
          <w:rFonts w:ascii="Arial" w:hAnsi="Arial" w:cs="Arial"/>
          <w:sz w:val="24"/>
          <w:szCs w:val="24"/>
          <w:lang w:val="en-US"/>
        </w:rPr>
        <w:t>d</w:t>
      </w:r>
      <w:r w:rsidR="006D0AA8" w:rsidRPr="0053551B">
        <w:rPr>
          <w:rFonts w:ascii="Arial" w:hAnsi="Arial" w:cs="Arial"/>
          <w:sz w:val="24"/>
          <w:szCs w:val="24"/>
          <w:lang w:val="en-US"/>
        </w:rPr>
        <w:t xml:space="preserve"> to his class that in using evaluative approaches</w:t>
      </w:r>
      <w:r w:rsidR="00F21303">
        <w:rPr>
          <w:rFonts w:ascii="Arial" w:hAnsi="Arial" w:cs="Arial"/>
          <w:sz w:val="24"/>
          <w:szCs w:val="24"/>
          <w:lang w:val="en-US"/>
        </w:rPr>
        <w:t>,</w:t>
      </w:r>
      <w:r w:rsidR="006D0AA8" w:rsidRPr="0053551B">
        <w:rPr>
          <w:rFonts w:ascii="Arial" w:hAnsi="Arial" w:cs="Arial"/>
          <w:sz w:val="24"/>
          <w:szCs w:val="24"/>
          <w:lang w:val="en-US"/>
        </w:rPr>
        <w:t xml:space="preserve"> he weaves components of many of the different views to meet the need of the situation </w:t>
      </w:r>
      <w:r w:rsidR="00D45451" w:rsidRPr="0053551B">
        <w:rPr>
          <w:rFonts w:ascii="Arial" w:hAnsi="Arial" w:cs="Arial"/>
          <w:sz w:val="24"/>
          <w:szCs w:val="24"/>
          <w:lang w:val="en-US"/>
        </w:rPr>
        <w:t xml:space="preserve">; sage and </w:t>
      </w:r>
      <w:r w:rsidR="006D0AA8" w:rsidRPr="0053551B">
        <w:rPr>
          <w:rFonts w:ascii="Arial" w:hAnsi="Arial" w:cs="Arial"/>
          <w:sz w:val="24"/>
          <w:szCs w:val="24"/>
          <w:lang w:val="en-US"/>
        </w:rPr>
        <w:t xml:space="preserve">comforting advice I thought.  It is okay to be eclectic, while being </w:t>
      </w:r>
      <w:r w:rsidR="00D45451" w:rsidRPr="0053551B">
        <w:rPr>
          <w:rFonts w:ascii="Arial" w:hAnsi="Arial" w:cs="Arial"/>
          <w:sz w:val="24"/>
          <w:szCs w:val="24"/>
          <w:lang w:val="en-US"/>
        </w:rPr>
        <w:t>cognizant of</w:t>
      </w:r>
      <w:r w:rsidR="006D0AA8" w:rsidRPr="0053551B">
        <w:rPr>
          <w:rFonts w:ascii="Arial" w:hAnsi="Arial" w:cs="Arial"/>
          <w:sz w:val="24"/>
          <w:szCs w:val="24"/>
          <w:lang w:val="en-US"/>
        </w:rPr>
        <w:t xml:space="preserve"> understanding the philosophy behind the approaches used.</w:t>
      </w:r>
    </w:p>
    <w:p w:rsidR="00D45451" w:rsidRPr="0053551B" w:rsidRDefault="00D45451" w:rsidP="00B77733">
      <w:pPr>
        <w:spacing w:after="0" w:line="240" w:lineRule="auto"/>
        <w:rPr>
          <w:rFonts w:ascii="Arial" w:hAnsi="Arial" w:cs="Arial"/>
          <w:sz w:val="24"/>
          <w:szCs w:val="24"/>
          <w:lang w:val="en-US"/>
        </w:rPr>
      </w:pPr>
    </w:p>
    <w:p w:rsidR="00B2251F" w:rsidRPr="0053551B" w:rsidRDefault="00B2251F" w:rsidP="006D0AA8">
      <w:pPr>
        <w:spacing w:after="0" w:line="480" w:lineRule="auto"/>
        <w:rPr>
          <w:rFonts w:ascii="Arial" w:hAnsi="Arial" w:cs="Arial"/>
          <w:sz w:val="24"/>
          <w:szCs w:val="24"/>
          <w:lang w:val="en-US"/>
        </w:rPr>
      </w:pPr>
    </w:p>
    <w:p w:rsidR="00D45451" w:rsidRPr="0053551B" w:rsidRDefault="00D45451" w:rsidP="006D0AA8">
      <w:pPr>
        <w:spacing w:after="0" w:line="480" w:lineRule="auto"/>
        <w:rPr>
          <w:rFonts w:ascii="Arial" w:hAnsi="Arial" w:cs="Arial"/>
          <w:sz w:val="24"/>
          <w:szCs w:val="24"/>
          <w:lang w:val="en-US"/>
        </w:rPr>
      </w:pPr>
    </w:p>
    <w:p w:rsidR="0053551B" w:rsidRDefault="0053551B" w:rsidP="0053551B">
      <w:pPr>
        <w:spacing w:after="240" w:line="480" w:lineRule="auto"/>
        <w:rPr>
          <w:rFonts w:ascii="Arial" w:hAnsi="Arial" w:cs="Arial"/>
          <w:sz w:val="24"/>
          <w:szCs w:val="24"/>
        </w:rPr>
      </w:pPr>
    </w:p>
    <w:p w:rsidR="0053551B" w:rsidRPr="0053551B" w:rsidRDefault="0053551B" w:rsidP="0053551B">
      <w:pPr>
        <w:spacing w:after="240" w:line="480" w:lineRule="auto"/>
        <w:jc w:val="center"/>
        <w:rPr>
          <w:rFonts w:ascii="Arial" w:hAnsi="Arial" w:cs="Arial"/>
          <w:color w:val="C00000"/>
          <w:sz w:val="24"/>
          <w:szCs w:val="24"/>
        </w:rPr>
      </w:pPr>
      <w:r>
        <w:rPr>
          <w:rFonts w:ascii="Arial" w:hAnsi="Arial" w:cs="Arial"/>
          <w:color w:val="C00000"/>
          <w:sz w:val="24"/>
          <w:szCs w:val="24"/>
        </w:rPr>
        <w:t>References</w:t>
      </w:r>
    </w:p>
    <w:p w:rsidR="0053551B" w:rsidRPr="0053551B" w:rsidRDefault="0053551B" w:rsidP="0053551B">
      <w:pPr>
        <w:spacing w:after="0" w:line="480" w:lineRule="auto"/>
        <w:rPr>
          <w:rFonts w:ascii="Arial" w:hAnsi="Arial" w:cs="Arial"/>
          <w:sz w:val="24"/>
          <w:szCs w:val="24"/>
          <w:lang w:val="en-US"/>
        </w:rPr>
      </w:pPr>
      <w:r w:rsidRPr="0053551B">
        <w:rPr>
          <w:rFonts w:ascii="Arial" w:hAnsi="Arial" w:cs="Arial"/>
          <w:sz w:val="24"/>
          <w:szCs w:val="24"/>
          <w:lang w:val="en-US"/>
        </w:rPr>
        <w:t xml:space="preserve">Fetterman, D. M. (2007) </w:t>
      </w:r>
      <w:r w:rsidRPr="0053551B">
        <w:rPr>
          <w:rFonts w:ascii="Arial" w:hAnsi="Arial" w:cs="Arial"/>
          <w:i/>
          <w:sz w:val="24"/>
          <w:szCs w:val="24"/>
          <w:lang w:val="en-US"/>
        </w:rPr>
        <w:t xml:space="preserve">Empowerment Evaluation: Principles in Practice. </w:t>
      </w:r>
      <w:r w:rsidRPr="0053551B">
        <w:rPr>
          <w:rFonts w:ascii="Arial" w:hAnsi="Arial" w:cs="Arial"/>
          <w:sz w:val="24"/>
          <w:szCs w:val="24"/>
          <w:lang w:val="en-US"/>
        </w:rPr>
        <w:t xml:space="preserve">Retrieved from </w:t>
      </w:r>
    </w:p>
    <w:p w:rsidR="0053551B" w:rsidRPr="0053551B" w:rsidRDefault="0053551B" w:rsidP="00277818">
      <w:pPr>
        <w:spacing w:after="0" w:line="480" w:lineRule="auto"/>
        <w:ind w:left="720"/>
        <w:rPr>
          <w:rFonts w:ascii="Arial" w:hAnsi="Arial" w:cs="Arial"/>
          <w:sz w:val="24"/>
          <w:szCs w:val="24"/>
          <w:lang w:val="en-US"/>
        </w:rPr>
      </w:pPr>
      <w:r w:rsidRPr="0053551B">
        <w:rPr>
          <w:rFonts w:ascii="Arial" w:hAnsi="Arial" w:cs="Arial"/>
          <w:sz w:val="24"/>
          <w:szCs w:val="24"/>
          <w:lang w:val="en-US"/>
        </w:rPr>
        <w:t>Lecture Notes Online Website:</w:t>
      </w:r>
      <w:r w:rsidR="00277818" w:rsidRPr="00277818">
        <w:t xml:space="preserve"> </w:t>
      </w:r>
      <w:r w:rsidR="00277818" w:rsidRPr="00277818">
        <w:rPr>
          <w:rFonts w:ascii="Arial" w:hAnsi="Arial" w:cs="Arial"/>
          <w:color w:val="0070C0"/>
          <w:sz w:val="24"/>
          <w:szCs w:val="24"/>
          <w:u w:val="single"/>
          <w:lang w:val="en-US"/>
        </w:rPr>
        <w:t>http://809and811.wikispaces.com/file/view/Empowerment+Presentation.pdf</w:t>
      </w:r>
    </w:p>
    <w:p w:rsidR="00B2251F" w:rsidRPr="0053551B" w:rsidRDefault="00B2251F" w:rsidP="0053551B">
      <w:pPr>
        <w:spacing w:after="240" w:line="480" w:lineRule="auto"/>
        <w:rPr>
          <w:rFonts w:ascii="Arial" w:hAnsi="Arial" w:cs="Arial"/>
          <w:sz w:val="24"/>
          <w:szCs w:val="24"/>
        </w:rPr>
      </w:pPr>
      <w:r w:rsidRPr="0053551B">
        <w:rPr>
          <w:rFonts w:ascii="Arial" w:hAnsi="Arial" w:cs="Arial"/>
          <w:sz w:val="24"/>
          <w:szCs w:val="24"/>
        </w:rPr>
        <w:t>Fitzpatrick, J.L., Sanders, J.R., &amp; Worthen, B.R. (2004). Program E</w:t>
      </w:r>
      <w:r w:rsidRPr="0053551B">
        <w:rPr>
          <w:rFonts w:ascii="Arial" w:hAnsi="Arial" w:cs="Arial"/>
          <w:i/>
          <w:sz w:val="24"/>
          <w:szCs w:val="24"/>
        </w:rPr>
        <w:t>valuation: Alternative</w:t>
      </w:r>
      <w:r w:rsidRPr="0053551B">
        <w:rPr>
          <w:rFonts w:ascii="Arial" w:hAnsi="Arial" w:cs="Arial"/>
          <w:i/>
          <w:sz w:val="24"/>
          <w:szCs w:val="24"/>
        </w:rPr>
        <w:tab/>
        <w:t>Approaches and Practical Guidelines</w:t>
      </w:r>
      <w:r w:rsidRPr="0053551B">
        <w:rPr>
          <w:rFonts w:ascii="Arial" w:hAnsi="Arial" w:cs="Arial"/>
          <w:sz w:val="24"/>
          <w:szCs w:val="24"/>
        </w:rPr>
        <w:t>. Boston: Pearson Education, Inc.</w:t>
      </w:r>
    </w:p>
    <w:p w:rsidR="0053551B" w:rsidRPr="0053551B" w:rsidRDefault="0053551B">
      <w:pPr>
        <w:spacing w:after="0" w:line="480" w:lineRule="auto"/>
        <w:rPr>
          <w:rFonts w:ascii="Arial" w:hAnsi="Arial" w:cs="Arial"/>
          <w:sz w:val="24"/>
          <w:szCs w:val="24"/>
          <w:lang w:val="en-US"/>
        </w:rPr>
      </w:pPr>
    </w:p>
    <w:sectPr w:rsidR="0053551B" w:rsidRPr="0053551B" w:rsidSect="002E1242">
      <w:headerReference w:type="default" r:id="rId8"/>
      <w:pgSz w:w="12240" w:h="15840"/>
      <w:pgMar w:top="1296" w:right="1296" w:bottom="1296"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9A1" w:rsidRDefault="006B19A1" w:rsidP="002219CE">
      <w:pPr>
        <w:spacing w:after="0" w:line="240" w:lineRule="auto"/>
      </w:pPr>
      <w:r>
        <w:separator/>
      </w:r>
    </w:p>
  </w:endnote>
  <w:endnote w:type="continuationSeparator" w:id="1">
    <w:p w:rsidR="006B19A1" w:rsidRDefault="006B19A1" w:rsidP="002219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9A1" w:rsidRDefault="006B19A1" w:rsidP="002219CE">
      <w:pPr>
        <w:spacing w:after="0" w:line="240" w:lineRule="auto"/>
      </w:pPr>
      <w:r>
        <w:separator/>
      </w:r>
    </w:p>
  </w:footnote>
  <w:footnote w:type="continuationSeparator" w:id="1">
    <w:p w:rsidR="006B19A1" w:rsidRDefault="006B19A1" w:rsidP="002219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Ind w:w="-6041" w:type="dxa"/>
      <w:tblLook w:val="04A0"/>
    </w:tblPr>
    <w:tblGrid>
      <w:gridCol w:w="8875"/>
      <w:gridCol w:w="649"/>
    </w:tblGrid>
    <w:tr w:rsidR="002219CE" w:rsidTr="002219CE">
      <w:trPr>
        <w:trHeight w:hRule="exact" w:val="285"/>
        <w:jc w:val="right"/>
      </w:trPr>
      <w:sdt>
        <w:sdtPr>
          <w:rPr>
            <w:rFonts w:ascii="Arial" w:eastAsiaTheme="majorEastAsia" w:hAnsi="Arial" w:cs="Arial"/>
            <w:sz w:val="24"/>
            <w:szCs w:val="24"/>
          </w:rPr>
          <w:alias w:val="Title"/>
          <w:id w:val="23771477"/>
          <w:placeholder>
            <w:docPart w:val="756D8490B4A54AE2871DCA52F8BEB13C"/>
          </w:placeholder>
          <w:dataBinding w:prefixMappings="xmlns:ns0='http://schemas.openxmlformats.org/package/2006/metadata/core-properties' xmlns:ns1='http://purl.org/dc/elements/1.1/'" w:xpath="/ns0:coreProperties[1]/ns1:title[1]" w:storeItemID="{6C3C8BC8-F283-45AE-878A-BAB7291924A1}"/>
          <w:text/>
        </w:sdtPr>
        <w:sdtContent>
          <w:tc>
            <w:tcPr>
              <w:tcW w:w="8875" w:type="dxa"/>
              <w:vAlign w:val="center"/>
            </w:tcPr>
            <w:p w:rsidR="002219CE" w:rsidRPr="002219CE" w:rsidRDefault="002219CE" w:rsidP="002219CE">
              <w:pPr>
                <w:pStyle w:val="Header"/>
                <w:jc w:val="right"/>
                <w:rPr>
                  <w:rFonts w:ascii="Arial" w:eastAsiaTheme="majorEastAsia" w:hAnsi="Arial" w:cs="Arial"/>
                  <w:sz w:val="24"/>
                  <w:szCs w:val="24"/>
                </w:rPr>
              </w:pPr>
              <w:r w:rsidRPr="002219CE">
                <w:rPr>
                  <w:rFonts w:ascii="Arial" w:eastAsiaTheme="majorEastAsia" w:hAnsi="Arial" w:cs="Arial"/>
                  <w:sz w:val="24"/>
                  <w:szCs w:val="24"/>
                </w:rPr>
                <w:t>EAHR 811 Response to Chapters 7, 8 &amp; 9 Shelley Romanyszyn-Cross</w:t>
              </w:r>
            </w:p>
          </w:tc>
        </w:sdtContent>
      </w:sdt>
      <w:tc>
        <w:tcPr>
          <w:tcW w:w="649" w:type="dxa"/>
          <w:shd w:val="clear" w:color="auto" w:fill="C0504D" w:themeFill="accent2"/>
          <w:vAlign w:val="center"/>
        </w:tcPr>
        <w:p w:rsidR="002219CE" w:rsidRDefault="00670AED">
          <w:pPr>
            <w:pStyle w:val="Header"/>
            <w:jc w:val="center"/>
            <w:rPr>
              <w:color w:val="FFFFFF" w:themeColor="background1"/>
            </w:rPr>
          </w:pPr>
          <w:fldSimple w:instr=" PAGE  \* MERGEFORMAT ">
            <w:r w:rsidR="00F21303" w:rsidRPr="00F21303">
              <w:rPr>
                <w:noProof/>
                <w:color w:val="FFFFFF" w:themeColor="background1"/>
              </w:rPr>
              <w:t>6</w:t>
            </w:r>
          </w:fldSimple>
        </w:p>
      </w:tc>
    </w:tr>
  </w:tbl>
  <w:p w:rsidR="002219CE" w:rsidRDefault="002219C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style="width:9pt;height:9pt" o:bullet="t">
        <v:imagedata r:id="rId1" o:title="BD15058_"/>
      </v:shape>
    </w:pict>
  </w:numPicBullet>
  <w:abstractNum w:abstractNumId="0">
    <w:nsid w:val="14B219DA"/>
    <w:multiLevelType w:val="hybridMultilevel"/>
    <w:tmpl w:val="CF06DA0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17D90FD6"/>
    <w:multiLevelType w:val="hybridMultilevel"/>
    <w:tmpl w:val="D4044A72"/>
    <w:lvl w:ilvl="0" w:tplc="10090001">
      <w:start w:val="1"/>
      <w:numFmt w:val="bullet"/>
      <w:lvlText w:val=""/>
      <w:lvlJc w:val="left"/>
      <w:pPr>
        <w:ind w:left="360" w:hanging="360"/>
      </w:pPr>
      <w:rPr>
        <w:rFonts w:ascii="Symbol" w:hAnsi="Symbol" w:hint="default"/>
      </w:rPr>
    </w:lvl>
    <w:lvl w:ilvl="1" w:tplc="0CEE5D4C">
      <w:start w:val="1"/>
      <w:numFmt w:val="bullet"/>
      <w:lvlText w:val=""/>
      <w:lvlPicBulletId w:val="0"/>
      <w:lvlJc w:val="left"/>
      <w:pPr>
        <w:ind w:left="1080" w:hanging="360"/>
      </w:pPr>
      <w:rPr>
        <w:rFonts w:ascii="Symbol" w:hAnsi="Symbol" w:hint="default"/>
        <w:color w:val="auto"/>
      </w:rPr>
    </w:lvl>
    <w:lvl w:ilvl="2" w:tplc="23A6EB4C">
      <w:start w:val="1"/>
      <w:numFmt w:val="decimal"/>
      <w:lvlText w:val="%3."/>
      <w:lvlJc w:val="left"/>
      <w:pPr>
        <w:ind w:left="1800" w:hanging="360"/>
      </w:pPr>
      <w:rPr>
        <w:rFonts w:hint="default"/>
        <w:color w:val="auto"/>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49615864"/>
    <w:multiLevelType w:val="hybridMultilevel"/>
    <w:tmpl w:val="682E1C5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4AC64703"/>
    <w:multiLevelType w:val="hybridMultilevel"/>
    <w:tmpl w:val="037287C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50CB4A45"/>
    <w:multiLevelType w:val="hybridMultilevel"/>
    <w:tmpl w:val="BB5C6E1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79AE5358"/>
    <w:multiLevelType w:val="hybridMultilevel"/>
    <w:tmpl w:val="37320554"/>
    <w:lvl w:ilvl="0" w:tplc="23A6EB4C">
      <w:start w:val="1"/>
      <w:numFmt w:val="decimal"/>
      <w:lvlText w:val="%1."/>
      <w:lvlJc w:val="left"/>
      <w:pPr>
        <w:ind w:left="720" w:hanging="360"/>
      </w:pPr>
      <w:rPr>
        <w:color w:val="auto"/>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7A3B6930"/>
    <w:multiLevelType w:val="hybridMultilevel"/>
    <w:tmpl w:val="37FAE27A"/>
    <w:lvl w:ilvl="0" w:tplc="554C9F2E">
      <w:start w:val="1"/>
      <w:numFmt w:val="decimal"/>
      <w:lvlText w:val="%1."/>
      <w:lvlJc w:val="left"/>
      <w:pPr>
        <w:ind w:left="720" w:hanging="360"/>
      </w:pPr>
      <w:rPr>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7B6075BA"/>
    <w:multiLevelType w:val="hybridMultilevel"/>
    <w:tmpl w:val="691827C6"/>
    <w:lvl w:ilvl="0" w:tplc="23A6EB4C">
      <w:start w:val="1"/>
      <w:numFmt w:val="decimal"/>
      <w:lvlText w:val="%1."/>
      <w:lvlJc w:val="left"/>
      <w:pPr>
        <w:ind w:left="720" w:hanging="360"/>
      </w:pPr>
      <w:rPr>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5"/>
  </w:num>
  <w:num w:numId="6">
    <w:abstractNumId w:val="7"/>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049"/>
  </w:hdrShapeDefaults>
  <w:footnotePr>
    <w:footnote w:id="0"/>
    <w:footnote w:id="1"/>
  </w:footnotePr>
  <w:endnotePr>
    <w:endnote w:id="0"/>
    <w:endnote w:id="1"/>
  </w:endnotePr>
  <w:compat/>
  <w:rsids>
    <w:rsidRoot w:val="002219CE"/>
    <w:rsid w:val="000F7D85"/>
    <w:rsid w:val="001B735B"/>
    <w:rsid w:val="002219CE"/>
    <w:rsid w:val="00237465"/>
    <w:rsid w:val="00277818"/>
    <w:rsid w:val="002B3627"/>
    <w:rsid w:val="002D1277"/>
    <w:rsid w:val="002E1242"/>
    <w:rsid w:val="003010DD"/>
    <w:rsid w:val="003014FA"/>
    <w:rsid w:val="00353848"/>
    <w:rsid w:val="003D15C2"/>
    <w:rsid w:val="004543D0"/>
    <w:rsid w:val="004B6F83"/>
    <w:rsid w:val="004E4EFB"/>
    <w:rsid w:val="004F449E"/>
    <w:rsid w:val="005248B2"/>
    <w:rsid w:val="0053551B"/>
    <w:rsid w:val="00580F92"/>
    <w:rsid w:val="005A1CE3"/>
    <w:rsid w:val="005B4BD6"/>
    <w:rsid w:val="005C51BE"/>
    <w:rsid w:val="005C76F6"/>
    <w:rsid w:val="005D0B3F"/>
    <w:rsid w:val="00600658"/>
    <w:rsid w:val="00663CD8"/>
    <w:rsid w:val="00670AED"/>
    <w:rsid w:val="006B19A1"/>
    <w:rsid w:val="006B69EB"/>
    <w:rsid w:val="006D0AA8"/>
    <w:rsid w:val="006E7B50"/>
    <w:rsid w:val="00710994"/>
    <w:rsid w:val="00710D70"/>
    <w:rsid w:val="0075572E"/>
    <w:rsid w:val="007B109D"/>
    <w:rsid w:val="007E79BB"/>
    <w:rsid w:val="00806F1E"/>
    <w:rsid w:val="008C402E"/>
    <w:rsid w:val="0090126A"/>
    <w:rsid w:val="009558EF"/>
    <w:rsid w:val="009570BA"/>
    <w:rsid w:val="009D2742"/>
    <w:rsid w:val="00B2251F"/>
    <w:rsid w:val="00B77733"/>
    <w:rsid w:val="00BA2FD6"/>
    <w:rsid w:val="00C35433"/>
    <w:rsid w:val="00C5132F"/>
    <w:rsid w:val="00CB333F"/>
    <w:rsid w:val="00D01EDB"/>
    <w:rsid w:val="00D022BB"/>
    <w:rsid w:val="00D45451"/>
    <w:rsid w:val="00D80F82"/>
    <w:rsid w:val="00D90DB0"/>
    <w:rsid w:val="00DB0AB8"/>
    <w:rsid w:val="00DD1645"/>
    <w:rsid w:val="00DF782B"/>
    <w:rsid w:val="00ED098B"/>
    <w:rsid w:val="00F21303"/>
    <w:rsid w:val="00F36BD5"/>
    <w:rsid w:val="00F534E0"/>
    <w:rsid w:val="00F647F1"/>
    <w:rsid w:val="00FC543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1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1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19CE"/>
  </w:style>
  <w:style w:type="paragraph" w:styleId="Footer">
    <w:name w:val="footer"/>
    <w:basedOn w:val="Normal"/>
    <w:link w:val="FooterChar"/>
    <w:uiPriority w:val="99"/>
    <w:semiHidden/>
    <w:unhideWhenUsed/>
    <w:rsid w:val="002219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219CE"/>
  </w:style>
  <w:style w:type="paragraph" w:styleId="BalloonText">
    <w:name w:val="Balloon Text"/>
    <w:basedOn w:val="Normal"/>
    <w:link w:val="BalloonTextChar"/>
    <w:uiPriority w:val="99"/>
    <w:semiHidden/>
    <w:unhideWhenUsed/>
    <w:rsid w:val="002219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9CE"/>
    <w:rPr>
      <w:rFonts w:ascii="Tahoma" w:hAnsi="Tahoma" w:cs="Tahoma"/>
      <w:sz w:val="16"/>
      <w:szCs w:val="16"/>
    </w:rPr>
  </w:style>
  <w:style w:type="paragraph" w:styleId="ListParagraph">
    <w:name w:val="List Paragraph"/>
    <w:basedOn w:val="Normal"/>
    <w:uiPriority w:val="34"/>
    <w:qFormat/>
    <w:rsid w:val="002219CE"/>
    <w:pPr>
      <w:ind w:left="720"/>
      <w:contextualSpacing/>
    </w:pPr>
  </w:style>
  <w:style w:type="table" w:styleId="TableGrid">
    <w:name w:val="Table Grid"/>
    <w:basedOn w:val="TableNormal"/>
    <w:uiPriority w:val="59"/>
    <w:rsid w:val="00D90D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079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56D8490B4A54AE2871DCA52F8BEB13C"/>
        <w:category>
          <w:name w:val="General"/>
          <w:gallery w:val="placeholder"/>
        </w:category>
        <w:types>
          <w:type w:val="bbPlcHdr"/>
        </w:types>
        <w:behaviors>
          <w:behavior w:val="content"/>
        </w:behaviors>
        <w:guid w:val="{64D2FF52-9CEA-4A13-825E-24E1F01A03B4}"/>
      </w:docPartPr>
      <w:docPartBody>
        <w:p w:rsidR="007D098B" w:rsidRDefault="000059EA" w:rsidP="000059EA">
          <w:pPr>
            <w:pStyle w:val="756D8490B4A54AE2871DCA52F8BEB13C"/>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059EA"/>
    <w:rsid w:val="000059EA"/>
    <w:rsid w:val="007D098B"/>
    <w:rsid w:val="00F735E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9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56D8490B4A54AE2871DCA52F8BEB13C">
    <w:name w:val="756D8490B4A54AE2871DCA52F8BEB13C"/>
    <w:rsid w:val="000059E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22AF5-825D-4F55-8B6F-78B01D688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Pages>
  <Words>2193</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EAHR 811 Response to Chapters 7, 8 &amp; 9 Shelley Romanyszyn-Cross</vt:lpstr>
    </vt:vector>
  </TitlesOfParts>
  <Company> </Company>
  <LinksUpToDate>false</LinksUpToDate>
  <CharactersWithSpaces>14665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EAHR 811 Response to Chapters 7, 8 &amp; 9 Shelley Romanyszyn-Cross</dc:title>
  <dc:subject/>
  <dc:creator> </dc:creator>
  <cp:keywords/>
  <dc:description/>
  <cp:lastModifiedBy> </cp:lastModifiedBy>
  <cp:revision>26</cp:revision>
  <dcterms:created xsi:type="dcterms:W3CDTF">2009-05-18T00:50:00Z</dcterms:created>
  <dcterms:modified xsi:type="dcterms:W3CDTF">2009-05-19T02:03:00Z</dcterms:modified>
</cp:coreProperties>
</file>